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
        <w:gridCol w:w="2410"/>
        <w:gridCol w:w="160"/>
        <w:gridCol w:w="4039"/>
        <w:gridCol w:w="5103"/>
      </w:tblGrid>
      <w:tr w:rsidR="007D0315" w:rsidTr="007D0315">
        <w:trPr>
          <w:trHeight w:val="844"/>
        </w:trPr>
        <w:tc>
          <w:tcPr>
            <w:tcW w:w="212" w:type="dxa"/>
            <w:tcBorders>
              <w:top w:val="nil"/>
              <w:left w:val="nil"/>
              <w:bottom w:val="nil"/>
              <w:right w:val="nil"/>
            </w:tcBorders>
          </w:tcPr>
          <w:p w:rsidR="007D0315" w:rsidRPr="005A35DD" w:rsidRDefault="007D0315">
            <w:pPr>
              <w:rPr>
                <w:rFonts w:ascii="Arial" w:hAnsi="Arial"/>
              </w:rPr>
            </w:pPr>
          </w:p>
        </w:tc>
        <w:tc>
          <w:tcPr>
            <w:tcW w:w="2410" w:type="dxa"/>
            <w:tcBorders>
              <w:top w:val="nil"/>
              <w:left w:val="nil"/>
              <w:bottom w:val="nil"/>
              <w:right w:val="nil"/>
            </w:tcBorders>
          </w:tcPr>
          <w:p w:rsidR="007D0315" w:rsidRDefault="00F141AB" w:rsidP="009450F8">
            <w:r>
              <w:rPr>
                <w:rFonts w:ascii="Arial" w:hAnsi="Arial"/>
                <w:noProof/>
                <w:lang w:val="es-ES"/>
              </w:rPr>
              <w:drawing>
                <wp:inline distT="0" distB="0" distL="0" distR="0">
                  <wp:extent cx="1471295" cy="723265"/>
                  <wp:effectExtent l="19050" t="0" r="0" b="0"/>
                  <wp:docPr id="1"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7" cstate="print"/>
                          <a:srcRect l="22939" t="31085" r="21606" b="30334"/>
                          <a:stretch>
                            <a:fillRect/>
                          </a:stretch>
                        </pic:blipFill>
                        <pic:spPr bwMode="auto">
                          <a:xfrm>
                            <a:off x="0" y="0"/>
                            <a:ext cx="1471295" cy="723265"/>
                          </a:xfrm>
                          <a:prstGeom prst="rect">
                            <a:avLst/>
                          </a:prstGeom>
                          <a:noFill/>
                          <a:ln w="9525">
                            <a:noFill/>
                            <a:miter lim="800000"/>
                            <a:headEnd/>
                            <a:tailEnd/>
                          </a:ln>
                        </pic:spPr>
                      </pic:pic>
                    </a:graphicData>
                  </a:graphic>
                </wp:inline>
              </w:drawing>
            </w:r>
          </w:p>
        </w:tc>
        <w:tc>
          <w:tcPr>
            <w:tcW w:w="160" w:type="dxa"/>
            <w:tcBorders>
              <w:top w:val="nil"/>
              <w:left w:val="nil"/>
              <w:bottom w:val="nil"/>
              <w:right w:val="nil"/>
            </w:tcBorders>
          </w:tcPr>
          <w:p w:rsidR="007D0315" w:rsidRPr="005A35DD" w:rsidRDefault="007D0315">
            <w:pPr>
              <w:rPr>
                <w:rFonts w:ascii="Arial" w:hAnsi="Arial"/>
              </w:rPr>
            </w:pPr>
          </w:p>
        </w:tc>
        <w:tc>
          <w:tcPr>
            <w:tcW w:w="4039" w:type="dxa"/>
            <w:tcBorders>
              <w:top w:val="nil"/>
              <w:left w:val="nil"/>
              <w:bottom w:val="nil"/>
              <w:right w:val="nil"/>
            </w:tcBorders>
          </w:tcPr>
          <w:p w:rsidR="008904DE" w:rsidRDefault="008904DE" w:rsidP="009450F8">
            <w:pPr>
              <w:rPr>
                <w:lang w:val="en-US"/>
              </w:rPr>
            </w:pPr>
          </w:p>
          <w:p w:rsidR="007D0315" w:rsidRPr="00C66A73" w:rsidRDefault="008904DE" w:rsidP="009450F8">
            <w:pPr>
              <w:rPr>
                <w:lang w:val="en-US"/>
              </w:rPr>
            </w:pPr>
            <w:r>
              <w:rPr>
                <w:noProof/>
                <w:lang w:val="es-ES"/>
              </w:rPr>
              <w:drawing>
                <wp:inline distT="0" distB="0" distL="0" distR="0">
                  <wp:extent cx="1390650" cy="381506"/>
                  <wp:effectExtent l="19050" t="0" r="0" b="0"/>
                  <wp:docPr id="28" name="Imagen 28" descr="LogoTelefó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Telefónica"/>
                          <pic:cNvPicPr>
                            <a:picLocks noChangeAspect="1" noChangeArrowheads="1"/>
                          </pic:cNvPicPr>
                        </pic:nvPicPr>
                        <pic:blipFill>
                          <a:blip r:embed="rId8" cstate="print"/>
                          <a:srcRect/>
                          <a:stretch>
                            <a:fillRect/>
                          </a:stretch>
                        </pic:blipFill>
                        <pic:spPr bwMode="auto">
                          <a:xfrm>
                            <a:off x="0" y="0"/>
                            <a:ext cx="1390650" cy="381506"/>
                          </a:xfrm>
                          <a:prstGeom prst="rect">
                            <a:avLst/>
                          </a:prstGeom>
                          <a:noFill/>
                          <a:ln w="9525">
                            <a:noFill/>
                            <a:miter lim="800000"/>
                            <a:headEnd/>
                            <a:tailEnd/>
                          </a:ln>
                        </pic:spPr>
                      </pic:pic>
                    </a:graphicData>
                  </a:graphic>
                </wp:inline>
              </w:drawing>
            </w:r>
          </w:p>
        </w:tc>
        <w:tc>
          <w:tcPr>
            <w:tcW w:w="5103" w:type="dxa"/>
            <w:tcBorders>
              <w:top w:val="nil"/>
              <w:left w:val="nil"/>
              <w:bottom w:val="nil"/>
              <w:right w:val="nil"/>
            </w:tcBorders>
            <w:vAlign w:val="center"/>
          </w:tcPr>
          <w:p w:rsidR="007D0315" w:rsidRDefault="007D0315" w:rsidP="007D0315">
            <w:pPr>
              <w:rPr>
                <w:rFonts w:ascii="Arial" w:hAnsi="Arial"/>
                <w:b/>
                <w:color w:val="000000"/>
                <w:sz w:val="32"/>
              </w:rPr>
            </w:pPr>
            <w:r>
              <w:rPr>
                <w:rFonts w:ascii="Arial" w:hAnsi="Arial"/>
                <w:b/>
                <w:color w:val="000000"/>
                <w:sz w:val="32"/>
              </w:rPr>
              <w:t xml:space="preserve">Comunicado </w:t>
            </w:r>
          </w:p>
          <w:p w:rsidR="007D0315" w:rsidRDefault="007D0315" w:rsidP="007D0315">
            <w:pPr>
              <w:rPr>
                <w:sz w:val="32"/>
              </w:rPr>
            </w:pPr>
            <w:r>
              <w:rPr>
                <w:rFonts w:ascii="Arial" w:hAnsi="Arial"/>
                <w:b/>
                <w:color w:val="000000"/>
                <w:sz w:val="32"/>
              </w:rPr>
              <w:t>de prensa</w:t>
            </w:r>
          </w:p>
        </w:tc>
      </w:tr>
    </w:tbl>
    <w:p w:rsidR="00F27ABA" w:rsidRDefault="00F27ABA" w:rsidP="005B5871">
      <w:pPr>
        <w:jc w:val="center"/>
        <w:rPr>
          <w:rFonts w:ascii="Arial" w:hAnsi="Arial" w:cs="Arial"/>
          <w:b/>
          <w:sz w:val="28"/>
          <w:szCs w:val="28"/>
        </w:rPr>
      </w:pPr>
    </w:p>
    <w:p w:rsidR="008904DE" w:rsidRDefault="008904DE" w:rsidP="008904DE">
      <w:pPr>
        <w:rPr>
          <w:rFonts w:ascii="Telefonica Headline Light" w:hAnsi="Telefonica Headline Light"/>
          <w:b/>
          <w:sz w:val="28"/>
          <w:szCs w:val="28"/>
        </w:rPr>
      </w:pPr>
    </w:p>
    <w:p w:rsidR="008904DE" w:rsidRDefault="008904DE" w:rsidP="00E00315">
      <w:pPr>
        <w:jc w:val="center"/>
        <w:rPr>
          <w:rFonts w:ascii="Telefonica Headline Light" w:hAnsi="Telefonica Headline Light"/>
          <w:b/>
          <w:sz w:val="28"/>
          <w:szCs w:val="28"/>
        </w:rPr>
      </w:pPr>
      <w:r>
        <w:rPr>
          <w:rFonts w:ascii="Telefonica Headline Light" w:hAnsi="Telefonica Headline Light"/>
          <w:b/>
          <w:sz w:val="28"/>
          <w:szCs w:val="28"/>
        </w:rPr>
        <w:t>INDRA</w:t>
      </w:r>
      <w:r w:rsidRPr="004B54B1">
        <w:rPr>
          <w:rFonts w:ascii="Telefonica Headline Light" w:hAnsi="Telefonica Headline Light"/>
          <w:b/>
          <w:sz w:val="28"/>
          <w:szCs w:val="28"/>
        </w:rPr>
        <w:t xml:space="preserve"> Y TELEFONICA FIRMAN UN ACUERDO PARA OFRECER SERVICIOS CLOUD A GRANDES EMPRESAS E INSTITUCIONES</w:t>
      </w:r>
    </w:p>
    <w:p w:rsidR="008904DE" w:rsidRDefault="008904DE" w:rsidP="00E00315">
      <w:pPr>
        <w:jc w:val="center"/>
        <w:rPr>
          <w:rFonts w:ascii="Telefonica Headline Light" w:hAnsi="Telefonica Headline Light"/>
          <w:b/>
          <w:sz w:val="28"/>
          <w:szCs w:val="28"/>
        </w:rPr>
      </w:pPr>
    </w:p>
    <w:p w:rsidR="008904DE" w:rsidRDefault="008904DE" w:rsidP="008904DE">
      <w:pPr>
        <w:rPr>
          <w:rFonts w:ascii="Telefonica Headline Light" w:hAnsi="Telefonica Headline Light"/>
          <w:b/>
          <w:sz w:val="28"/>
          <w:szCs w:val="28"/>
        </w:rPr>
      </w:pPr>
    </w:p>
    <w:p w:rsidR="008904DE" w:rsidRPr="00D24025" w:rsidRDefault="008904DE" w:rsidP="008904DE">
      <w:pPr>
        <w:pStyle w:val="Ttulo3"/>
        <w:keepLines w:val="0"/>
        <w:widowControl w:val="0"/>
        <w:numPr>
          <w:ilvl w:val="0"/>
          <w:numId w:val="22"/>
        </w:numPr>
        <w:shd w:val="clear" w:color="auto" w:fill="FFFFFF"/>
        <w:tabs>
          <w:tab w:val="left" w:pos="7960"/>
        </w:tabs>
        <w:spacing w:before="0"/>
        <w:jc w:val="both"/>
        <w:rPr>
          <w:rFonts w:ascii="Arial" w:hAnsi="Arial" w:cs="Arial"/>
          <w:color w:val="auto"/>
          <w:sz w:val="22"/>
          <w:szCs w:val="22"/>
        </w:rPr>
      </w:pPr>
      <w:r w:rsidRPr="00D24025">
        <w:rPr>
          <w:rFonts w:ascii="Arial" w:hAnsi="Arial" w:cs="Arial"/>
          <w:color w:val="auto"/>
          <w:sz w:val="22"/>
          <w:szCs w:val="22"/>
          <w:lang w:eastAsia="es-ES_tradnl"/>
        </w:rPr>
        <w:t>Proporcionarán  servicios  de extremo a extremo (</w:t>
      </w:r>
      <w:r w:rsidRPr="00D24025">
        <w:rPr>
          <w:rFonts w:ascii="Arial" w:hAnsi="Arial" w:cs="Arial"/>
          <w:i/>
          <w:color w:val="auto"/>
          <w:sz w:val="22"/>
          <w:szCs w:val="22"/>
          <w:lang w:eastAsia="es-ES_tradnl"/>
        </w:rPr>
        <w:t>end-to-end)</w:t>
      </w:r>
      <w:r w:rsidR="0019375D">
        <w:rPr>
          <w:rFonts w:ascii="Arial" w:hAnsi="Arial" w:cs="Arial"/>
          <w:color w:val="auto"/>
          <w:sz w:val="22"/>
          <w:szCs w:val="22"/>
          <w:lang w:eastAsia="es-ES_tradnl"/>
        </w:rPr>
        <w:t xml:space="preserve">  de transferencia  a </w:t>
      </w:r>
      <w:r w:rsidRPr="00D24025">
        <w:rPr>
          <w:rFonts w:ascii="Arial" w:hAnsi="Arial" w:cs="Arial"/>
          <w:color w:val="auto"/>
          <w:sz w:val="22"/>
          <w:szCs w:val="22"/>
          <w:lang w:eastAsia="es-ES_tradnl"/>
        </w:rPr>
        <w:t>la nube  de las aplicaciones y servicios de infraestructuras TI, garantizando a los clientes la adecuada tran</w:t>
      </w:r>
      <w:r w:rsidR="0011464B">
        <w:rPr>
          <w:rFonts w:ascii="Arial" w:hAnsi="Arial" w:cs="Arial"/>
          <w:color w:val="auto"/>
          <w:sz w:val="22"/>
          <w:szCs w:val="22"/>
          <w:lang w:eastAsia="es-ES_tradnl"/>
        </w:rPr>
        <w:t xml:space="preserve">sformación de las aplicaciones </w:t>
      </w:r>
      <w:r w:rsidRPr="00D24025">
        <w:rPr>
          <w:rFonts w:ascii="Arial" w:hAnsi="Arial" w:cs="Arial"/>
          <w:color w:val="auto"/>
          <w:sz w:val="22"/>
          <w:szCs w:val="22"/>
          <w:lang w:eastAsia="es-ES_tradnl"/>
        </w:rPr>
        <w:t>que s</w:t>
      </w:r>
      <w:r w:rsidR="001809C2">
        <w:rPr>
          <w:rFonts w:ascii="Arial" w:hAnsi="Arial" w:cs="Arial"/>
          <w:color w:val="auto"/>
          <w:sz w:val="22"/>
          <w:szCs w:val="22"/>
          <w:lang w:eastAsia="es-ES_tradnl"/>
        </w:rPr>
        <w:t>oportan sus procesos de negocio</w:t>
      </w:r>
      <w:r w:rsidRPr="00D24025">
        <w:rPr>
          <w:rFonts w:ascii="Arial" w:hAnsi="Arial" w:cs="Arial"/>
          <w:color w:val="auto"/>
          <w:sz w:val="22"/>
          <w:szCs w:val="22"/>
          <w:lang w:eastAsia="es-ES_tradnl"/>
        </w:rPr>
        <w:t xml:space="preserve"> </w:t>
      </w:r>
    </w:p>
    <w:p w:rsidR="008904DE" w:rsidRPr="00D24025" w:rsidRDefault="008904DE" w:rsidP="008904DE">
      <w:pPr>
        <w:rPr>
          <w:rFonts w:ascii="Arial" w:hAnsi="Arial" w:cs="Arial"/>
          <w:sz w:val="22"/>
          <w:szCs w:val="22"/>
        </w:rPr>
      </w:pPr>
    </w:p>
    <w:p w:rsidR="00E00315" w:rsidRDefault="0011464B" w:rsidP="00D24025">
      <w:pPr>
        <w:spacing w:before="100" w:beforeAutospacing="1" w:after="100" w:afterAutospacing="1"/>
        <w:jc w:val="both"/>
        <w:rPr>
          <w:rFonts w:ascii="Arial" w:hAnsi="Arial" w:cs="Arial"/>
          <w:sz w:val="22"/>
          <w:szCs w:val="22"/>
        </w:rPr>
      </w:pPr>
      <w:r>
        <w:rPr>
          <w:rFonts w:ascii="Arial" w:hAnsi="Arial" w:cs="Arial"/>
          <w:sz w:val="22"/>
          <w:szCs w:val="22"/>
        </w:rPr>
        <w:t xml:space="preserve">Telefónica e </w:t>
      </w:r>
      <w:r w:rsidR="008904DE" w:rsidRPr="00D24025">
        <w:rPr>
          <w:rFonts w:ascii="Arial" w:hAnsi="Arial" w:cs="Arial"/>
          <w:sz w:val="22"/>
          <w:szCs w:val="22"/>
        </w:rPr>
        <w:t xml:space="preserve">Indra </w:t>
      </w:r>
      <w:r w:rsidR="00E00315">
        <w:rPr>
          <w:rFonts w:ascii="Arial" w:hAnsi="Arial" w:cs="Arial"/>
          <w:sz w:val="22"/>
          <w:szCs w:val="22"/>
        </w:rPr>
        <w:t xml:space="preserve">ofrecerán de forma conjunta servicios y soluciones </w:t>
      </w:r>
      <w:r w:rsidR="00D11F00">
        <w:rPr>
          <w:rFonts w:ascii="Arial" w:hAnsi="Arial" w:cs="Arial"/>
          <w:sz w:val="22"/>
          <w:szCs w:val="22"/>
        </w:rPr>
        <w:t>C</w:t>
      </w:r>
      <w:r w:rsidR="00E00315">
        <w:rPr>
          <w:rFonts w:ascii="Arial" w:hAnsi="Arial" w:cs="Arial"/>
          <w:sz w:val="22"/>
          <w:szCs w:val="22"/>
        </w:rPr>
        <w:t xml:space="preserve">loud a </w:t>
      </w:r>
      <w:r w:rsidR="008904DE" w:rsidRPr="00D24025">
        <w:rPr>
          <w:rFonts w:ascii="Arial" w:hAnsi="Arial" w:cs="Arial"/>
          <w:sz w:val="22"/>
          <w:szCs w:val="22"/>
        </w:rPr>
        <w:t xml:space="preserve">Administraciones Públicas y Grandes Empresas. </w:t>
      </w:r>
      <w:r w:rsidR="00E00315">
        <w:rPr>
          <w:rFonts w:ascii="Arial" w:hAnsi="Arial" w:cs="Arial"/>
          <w:sz w:val="22"/>
          <w:szCs w:val="22"/>
        </w:rPr>
        <w:t xml:space="preserve">Así lo recoge el acuerdo firmado hoy por </w:t>
      </w:r>
      <w:r w:rsidR="008904DE" w:rsidRPr="00D24025">
        <w:rPr>
          <w:rFonts w:ascii="Arial" w:hAnsi="Arial" w:cs="Arial"/>
          <w:sz w:val="22"/>
          <w:szCs w:val="22"/>
        </w:rPr>
        <w:t>Salvador Anglada</w:t>
      </w:r>
      <w:r w:rsidR="00E00315">
        <w:rPr>
          <w:rFonts w:ascii="Arial" w:hAnsi="Arial" w:cs="Arial"/>
          <w:sz w:val="22"/>
          <w:szCs w:val="22"/>
        </w:rPr>
        <w:t>, director g</w:t>
      </w:r>
      <w:r w:rsidR="008904DE" w:rsidRPr="00D24025">
        <w:rPr>
          <w:rFonts w:ascii="Arial" w:hAnsi="Arial" w:cs="Arial"/>
          <w:sz w:val="22"/>
          <w:szCs w:val="22"/>
        </w:rPr>
        <w:t>eneral de Empresas de Telefónica</w:t>
      </w:r>
      <w:r w:rsidR="00524CB3">
        <w:rPr>
          <w:rFonts w:ascii="Arial" w:hAnsi="Arial" w:cs="Arial"/>
          <w:sz w:val="22"/>
          <w:szCs w:val="22"/>
        </w:rPr>
        <w:t>,</w:t>
      </w:r>
      <w:r w:rsidR="008904DE" w:rsidRPr="00D24025">
        <w:rPr>
          <w:rFonts w:ascii="Arial" w:hAnsi="Arial" w:cs="Arial"/>
          <w:sz w:val="22"/>
          <w:szCs w:val="22"/>
        </w:rPr>
        <w:t xml:space="preserve"> y</w:t>
      </w:r>
      <w:r w:rsidR="00E00315">
        <w:rPr>
          <w:rFonts w:ascii="Arial" w:hAnsi="Arial" w:cs="Arial"/>
          <w:sz w:val="22"/>
          <w:szCs w:val="22"/>
        </w:rPr>
        <w:t xml:space="preserve"> por</w:t>
      </w:r>
      <w:r w:rsidR="008904DE" w:rsidRPr="00D24025">
        <w:rPr>
          <w:rFonts w:ascii="Arial" w:hAnsi="Arial" w:cs="Arial"/>
          <w:sz w:val="22"/>
          <w:szCs w:val="22"/>
        </w:rPr>
        <w:t xml:space="preserve"> </w:t>
      </w:r>
      <w:r w:rsidR="00E00315">
        <w:rPr>
          <w:rFonts w:ascii="Arial" w:hAnsi="Arial" w:cs="Arial"/>
          <w:sz w:val="22"/>
          <w:szCs w:val="22"/>
        </w:rPr>
        <w:t xml:space="preserve">Santiago Roura y Ángel Vizoso, director general </w:t>
      </w:r>
      <w:r w:rsidR="00524CB3">
        <w:rPr>
          <w:rFonts w:ascii="Arial" w:hAnsi="Arial" w:cs="Arial"/>
          <w:sz w:val="22"/>
          <w:szCs w:val="22"/>
        </w:rPr>
        <w:t>de Indra</w:t>
      </w:r>
      <w:r w:rsidR="00D11F00">
        <w:rPr>
          <w:rFonts w:ascii="Arial" w:hAnsi="Arial" w:cs="Arial"/>
          <w:sz w:val="22"/>
          <w:szCs w:val="22"/>
        </w:rPr>
        <w:t>,</w:t>
      </w:r>
      <w:r w:rsidR="00524CB3">
        <w:rPr>
          <w:rFonts w:ascii="Arial" w:hAnsi="Arial" w:cs="Arial"/>
          <w:sz w:val="22"/>
          <w:szCs w:val="22"/>
        </w:rPr>
        <w:t xml:space="preserve"> </w:t>
      </w:r>
      <w:r w:rsidR="00E00315">
        <w:rPr>
          <w:rFonts w:ascii="Arial" w:hAnsi="Arial" w:cs="Arial"/>
          <w:sz w:val="22"/>
          <w:szCs w:val="22"/>
        </w:rPr>
        <w:t>y director del Mercado de</w:t>
      </w:r>
      <w:r w:rsidR="00524CB3">
        <w:rPr>
          <w:rFonts w:ascii="Arial" w:hAnsi="Arial" w:cs="Arial"/>
          <w:sz w:val="22"/>
          <w:szCs w:val="22"/>
        </w:rPr>
        <w:t xml:space="preserve"> Te</w:t>
      </w:r>
      <w:r w:rsidR="00E00315">
        <w:rPr>
          <w:rFonts w:ascii="Arial" w:hAnsi="Arial" w:cs="Arial"/>
          <w:sz w:val="22"/>
          <w:szCs w:val="22"/>
        </w:rPr>
        <w:t>l</w:t>
      </w:r>
      <w:r w:rsidR="00524CB3">
        <w:rPr>
          <w:rFonts w:ascii="Arial" w:hAnsi="Arial" w:cs="Arial"/>
          <w:sz w:val="22"/>
          <w:szCs w:val="22"/>
        </w:rPr>
        <w:t>e</w:t>
      </w:r>
      <w:r w:rsidR="00E00315">
        <w:rPr>
          <w:rFonts w:ascii="Arial" w:hAnsi="Arial" w:cs="Arial"/>
          <w:sz w:val="22"/>
          <w:szCs w:val="22"/>
        </w:rPr>
        <w:t>comunicacione</w:t>
      </w:r>
      <w:r w:rsidR="00524CB3">
        <w:rPr>
          <w:rFonts w:ascii="Arial" w:hAnsi="Arial" w:cs="Arial"/>
          <w:sz w:val="22"/>
          <w:szCs w:val="22"/>
        </w:rPr>
        <w:t xml:space="preserve">s de la multinacional tecnológica,  </w:t>
      </w:r>
      <w:r w:rsidR="00E00315">
        <w:rPr>
          <w:rFonts w:ascii="Arial" w:hAnsi="Arial" w:cs="Arial"/>
          <w:sz w:val="22"/>
          <w:szCs w:val="22"/>
        </w:rPr>
        <w:t xml:space="preserve">respectivamente. </w:t>
      </w:r>
    </w:p>
    <w:p w:rsidR="008904DE" w:rsidRPr="00D24025" w:rsidRDefault="00D11F00" w:rsidP="00D24025">
      <w:pPr>
        <w:spacing w:before="100" w:beforeAutospacing="1" w:after="100" w:afterAutospacing="1"/>
        <w:jc w:val="both"/>
        <w:rPr>
          <w:rFonts w:ascii="Arial" w:hAnsi="Arial" w:cs="Arial"/>
          <w:sz w:val="22"/>
          <w:szCs w:val="22"/>
        </w:rPr>
      </w:pPr>
      <w:r>
        <w:rPr>
          <w:rFonts w:ascii="Arial" w:hAnsi="Arial" w:cs="Arial"/>
          <w:sz w:val="22"/>
          <w:szCs w:val="22"/>
        </w:rPr>
        <w:t>La tecnología de Cloud C</w:t>
      </w:r>
      <w:r w:rsidR="008904DE" w:rsidRPr="00D24025">
        <w:rPr>
          <w:rFonts w:ascii="Arial" w:hAnsi="Arial" w:cs="Arial"/>
          <w:sz w:val="22"/>
          <w:szCs w:val="22"/>
        </w:rPr>
        <w:t xml:space="preserve">omputing es clave para el desarrollo de las empresas, que necesitan evolucionar hacia entornos compartidos y virtualizados para aumentar la flexibilidad y eficiencia </w:t>
      </w:r>
      <w:r w:rsidR="00466001">
        <w:rPr>
          <w:rFonts w:ascii="Arial" w:hAnsi="Arial" w:cs="Arial"/>
          <w:sz w:val="22"/>
          <w:szCs w:val="22"/>
        </w:rPr>
        <w:t>de</w:t>
      </w:r>
      <w:r w:rsidR="008904DE" w:rsidRPr="00D24025">
        <w:rPr>
          <w:rFonts w:ascii="Arial" w:hAnsi="Arial" w:cs="Arial"/>
          <w:sz w:val="22"/>
          <w:szCs w:val="22"/>
        </w:rPr>
        <w:t xml:space="preserve"> las  infraestructuras y aplicaciones TI, proporcionando mayores rendimientos a los negocios. Por este motivo, Telefónica e Indra se han unido para proporcionar de manera conjunta los mejores servicios de </w:t>
      </w:r>
      <w:r w:rsidR="008904DE" w:rsidRPr="00D24025">
        <w:rPr>
          <w:rFonts w:ascii="Arial" w:hAnsi="Arial" w:cs="Arial"/>
          <w:i/>
          <w:sz w:val="22"/>
          <w:szCs w:val="22"/>
        </w:rPr>
        <w:t>cloud</w:t>
      </w:r>
      <w:r w:rsidR="008904DE" w:rsidRPr="00D24025">
        <w:rPr>
          <w:rFonts w:ascii="Arial" w:hAnsi="Arial" w:cs="Arial"/>
          <w:sz w:val="22"/>
          <w:szCs w:val="22"/>
        </w:rPr>
        <w:t xml:space="preserve"> para las instituciones y las empresas. </w:t>
      </w:r>
    </w:p>
    <w:p w:rsidR="008904DE" w:rsidRPr="00D24025" w:rsidRDefault="008904DE" w:rsidP="00D24025">
      <w:pPr>
        <w:spacing w:before="100" w:beforeAutospacing="1" w:after="100" w:afterAutospacing="1"/>
        <w:jc w:val="both"/>
        <w:rPr>
          <w:rFonts w:ascii="Arial" w:hAnsi="Arial" w:cs="Arial"/>
          <w:sz w:val="22"/>
          <w:szCs w:val="22"/>
        </w:rPr>
      </w:pPr>
      <w:r w:rsidRPr="00D24025">
        <w:rPr>
          <w:rFonts w:ascii="Arial" w:hAnsi="Arial" w:cs="Arial"/>
          <w:sz w:val="22"/>
          <w:szCs w:val="22"/>
        </w:rPr>
        <w:t xml:space="preserve">El objetivo de este acuerdo es ofrecer soluciones globales para grandes clientes, que les permitan llevar a cabo </w:t>
      </w:r>
      <w:r w:rsidR="00466001" w:rsidRPr="00466001">
        <w:rPr>
          <w:rFonts w:ascii="Arial" w:hAnsi="Arial" w:cs="Arial"/>
          <w:sz w:val="22"/>
          <w:szCs w:val="22"/>
        </w:rPr>
        <w:t xml:space="preserve">de manera adecuada </w:t>
      </w:r>
      <w:r w:rsidRPr="00D24025">
        <w:rPr>
          <w:rFonts w:ascii="Arial" w:hAnsi="Arial" w:cs="Arial"/>
          <w:sz w:val="22"/>
          <w:szCs w:val="22"/>
        </w:rPr>
        <w:t>la transformación de las aplicaciones que soportan sus procesos de negocio. Para ello, estas dos compañías proporcionarán de manera conjunta un servicio extremo a extremo (</w:t>
      </w:r>
      <w:r w:rsidRPr="00D24025">
        <w:rPr>
          <w:rFonts w:ascii="Arial" w:hAnsi="Arial" w:cs="Arial"/>
          <w:i/>
          <w:sz w:val="22"/>
          <w:szCs w:val="22"/>
        </w:rPr>
        <w:t>end-to-end</w:t>
      </w:r>
      <w:r w:rsidRPr="00D24025">
        <w:rPr>
          <w:rFonts w:ascii="Arial" w:hAnsi="Arial" w:cs="Arial"/>
          <w:sz w:val="22"/>
          <w:szCs w:val="22"/>
        </w:rPr>
        <w:t xml:space="preserve">) para la transferencia a la nube de las aplicaciones y servicios de infraestructuras TI en que se apoyan. </w:t>
      </w:r>
    </w:p>
    <w:p w:rsidR="008904DE" w:rsidRPr="00D24025" w:rsidRDefault="008904DE" w:rsidP="00D24025">
      <w:pPr>
        <w:pStyle w:val="Prrafodelista"/>
        <w:ind w:left="0"/>
        <w:jc w:val="both"/>
        <w:rPr>
          <w:rFonts w:ascii="Arial" w:hAnsi="Arial" w:cs="Arial"/>
        </w:rPr>
      </w:pPr>
      <w:r w:rsidRPr="00D24025">
        <w:rPr>
          <w:rFonts w:ascii="Arial" w:hAnsi="Arial" w:cs="Arial"/>
        </w:rPr>
        <w:t xml:space="preserve"> </w:t>
      </w:r>
      <w:r w:rsidRPr="00D24025">
        <w:rPr>
          <w:rFonts w:ascii="Arial" w:hAnsi="Arial" w:cs="Arial"/>
          <w:color w:val="000000"/>
        </w:rPr>
        <w:t>Ayudar a las organizaciones a evolucionar su modelo de TI es una de las prioridades de Indra, una compañía global de tecnología, que se encuentra a la vanguardia de soluciones en la nube gracias a una oferta integral, denominada Indra In-Cloud, en la que el punto de inflexión es la transformaci</w:t>
      </w:r>
      <w:r w:rsidR="00D11F00">
        <w:rPr>
          <w:rFonts w:ascii="Arial" w:hAnsi="Arial" w:cs="Arial"/>
          <w:color w:val="000000"/>
        </w:rPr>
        <w:t xml:space="preserve">ón de las aplicaciones. Con esta iniciativa, </w:t>
      </w:r>
      <w:r w:rsidRPr="00D24025">
        <w:rPr>
          <w:rFonts w:ascii="Arial" w:hAnsi="Arial" w:cs="Arial"/>
          <w:color w:val="000000"/>
        </w:rPr>
        <w:t>Indra incorpora su amplia experiencia en consultoría, proyectos de desarrollo y transformación de aplicaciones e infraestructuras</w:t>
      </w:r>
      <w:r w:rsidR="00466001">
        <w:rPr>
          <w:rFonts w:ascii="Arial" w:hAnsi="Arial" w:cs="Arial"/>
          <w:color w:val="000000"/>
        </w:rPr>
        <w:t>,</w:t>
      </w:r>
      <w:r w:rsidRPr="00D24025">
        <w:rPr>
          <w:rFonts w:ascii="Arial" w:hAnsi="Arial" w:cs="Arial"/>
          <w:color w:val="000000"/>
        </w:rPr>
        <w:t xml:space="preserve"> así como de mantenimiento de aplicaciones en el nuevo entorno</w:t>
      </w:r>
    </w:p>
    <w:p w:rsidR="008904DE" w:rsidRPr="00D24025" w:rsidRDefault="00D11F00" w:rsidP="00D24025">
      <w:pPr>
        <w:spacing w:before="100" w:beforeAutospacing="1" w:after="100" w:afterAutospacing="1"/>
        <w:jc w:val="both"/>
        <w:rPr>
          <w:rFonts w:ascii="Arial" w:hAnsi="Arial" w:cs="Arial"/>
          <w:sz w:val="22"/>
          <w:szCs w:val="22"/>
        </w:rPr>
      </w:pPr>
      <w:r>
        <w:rPr>
          <w:rFonts w:ascii="Arial" w:hAnsi="Arial" w:cs="Arial"/>
          <w:sz w:val="22"/>
          <w:szCs w:val="22"/>
        </w:rPr>
        <w:t xml:space="preserve">Por su parte, Telefónica, </w:t>
      </w:r>
      <w:r w:rsidR="008904DE" w:rsidRPr="00D24025">
        <w:rPr>
          <w:rFonts w:ascii="Arial" w:hAnsi="Arial" w:cs="Arial"/>
          <w:sz w:val="22"/>
          <w:szCs w:val="22"/>
        </w:rPr>
        <w:t xml:space="preserve">operadora global de comunicaciones,  presta servicios de </w:t>
      </w:r>
      <w:r w:rsidR="008904DE" w:rsidRPr="00D24025">
        <w:rPr>
          <w:rFonts w:ascii="Arial" w:hAnsi="Arial" w:cs="Arial"/>
          <w:i/>
          <w:sz w:val="22"/>
          <w:szCs w:val="22"/>
        </w:rPr>
        <w:t>Outsourcing</w:t>
      </w:r>
      <w:r w:rsidR="008904DE" w:rsidRPr="00D24025">
        <w:rPr>
          <w:rFonts w:ascii="Arial" w:hAnsi="Arial" w:cs="Arial"/>
          <w:sz w:val="22"/>
          <w:szCs w:val="22"/>
        </w:rPr>
        <w:t xml:space="preserve"> de Infraestructuras para la externalización completa de sistemas, haciendo foco específicamente en los servicios de Datacenter Cloud, que prestan una plataforma flexible y a medida con la que una empresa obtiene un espacio privado en el entorno más seguro </w:t>
      </w:r>
      <w:r w:rsidR="008904DE" w:rsidRPr="00D24025">
        <w:rPr>
          <w:rFonts w:ascii="Arial" w:hAnsi="Arial" w:cs="Arial"/>
          <w:sz w:val="22"/>
          <w:szCs w:val="22"/>
        </w:rPr>
        <w:lastRenderedPageBreak/>
        <w:t>para instalar todas las aplicaciones de negocio que necesite.</w:t>
      </w:r>
      <w:r>
        <w:rPr>
          <w:rFonts w:ascii="Arial" w:hAnsi="Arial" w:cs="Arial"/>
          <w:sz w:val="22"/>
          <w:szCs w:val="22"/>
        </w:rPr>
        <w:t xml:space="preserve"> </w:t>
      </w:r>
      <w:r w:rsidR="008904DE" w:rsidRPr="00D24025">
        <w:rPr>
          <w:rFonts w:ascii="Arial" w:hAnsi="Arial" w:cs="Arial"/>
          <w:sz w:val="22"/>
          <w:szCs w:val="22"/>
        </w:rPr>
        <w:t>Telefónica se encargará además, de la gestión de usuarios, la gestión tecnológica y las comunicaciones.</w:t>
      </w:r>
    </w:p>
    <w:p w:rsidR="009F60BF" w:rsidRDefault="008904DE" w:rsidP="00D24025">
      <w:pPr>
        <w:jc w:val="both"/>
        <w:rPr>
          <w:rFonts w:ascii="Arial" w:hAnsi="Arial" w:cs="Arial"/>
          <w:b/>
          <w:szCs w:val="24"/>
        </w:rPr>
      </w:pPr>
      <w:r w:rsidRPr="00D24025">
        <w:rPr>
          <w:rFonts w:ascii="Arial" w:hAnsi="Arial" w:cs="Arial"/>
          <w:sz w:val="22"/>
          <w:szCs w:val="22"/>
        </w:rPr>
        <w:t>El acuerdo incluye la creación de un grupo de expertos de  Indra y Telefónica  para  identificar oportunidades de mercado y  ofrecer soluciones  idóneas a las  necesidades de racionalización de costes de las áreas de TI  en línea con las estrategias de negocio de las empresas</w:t>
      </w:r>
      <w:r>
        <w:rPr>
          <w:rFonts w:ascii="Telefonica Text" w:hAnsi="Telefonica Text"/>
          <w:sz w:val="20"/>
        </w:rPr>
        <w:t>.</w:t>
      </w:r>
      <w:r w:rsidR="00D24025">
        <w:rPr>
          <w:rFonts w:ascii="Arial" w:hAnsi="Arial" w:cs="Arial"/>
          <w:b/>
          <w:szCs w:val="24"/>
        </w:rPr>
        <w:t xml:space="preserve"> </w:t>
      </w:r>
    </w:p>
    <w:p w:rsidR="00E00315" w:rsidRDefault="00E00315" w:rsidP="00D24025">
      <w:pPr>
        <w:jc w:val="both"/>
        <w:rPr>
          <w:rFonts w:ascii="Arial" w:hAnsi="Arial" w:cs="Arial"/>
          <w:sz w:val="22"/>
          <w:szCs w:val="22"/>
        </w:rPr>
      </w:pPr>
    </w:p>
    <w:p w:rsidR="00E00315" w:rsidRDefault="00E00315" w:rsidP="00E00315">
      <w:pPr>
        <w:jc w:val="both"/>
        <w:rPr>
          <w:rFonts w:ascii="Arial" w:hAnsi="Arial" w:cs="Arial"/>
          <w:bCs/>
          <w:sz w:val="22"/>
          <w:szCs w:val="22"/>
        </w:rPr>
      </w:pPr>
      <w:r w:rsidRPr="000271DD">
        <w:rPr>
          <w:rFonts w:ascii="Arial" w:hAnsi="Arial" w:cs="Arial"/>
          <w:bCs/>
          <w:sz w:val="22"/>
          <w:szCs w:val="22"/>
        </w:rPr>
        <w:t>Indra es la multinacional tecnológica líder en España y una de las principales de Europa y Latinoamérica. Es la segunda compañía europea de su sector por inversión en I+D, con 550 M€ invertidos en los últimos tres años. Las ventas en 2011 ascendieron a 2.688 M€ y en la actualidad el 55% de los ingresos proceden del mercado internacional. Cuenta con 42.000 profesionales y con clientes en 118 países.</w:t>
      </w:r>
    </w:p>
    <w:p w:rsidR="00466001" w:rsidRDefault="00466001" w:rsidP="00E00315">
      <w:pPr>
        <w:jc w:val="both"/>
        <w:rPr>
          <w:rFonts w:ascii="Arial" w:hAnsi="Arial" w:cs="Arial"/>
          <w:bCs/>
          <w:sz w:val="22"/>
          <w:szCs w:val="22"/>
        </w:rPr>
      </w:pPr>
    </w:p>
    <w:p w:rsidR="00466001" w:rsidRPr="000271DD" w:rsidRDefault="00466001" w:rsidP="00466001">
      <w:pPr>
        <w:jc w:val="both"/>
        <w:rPr>
          <w:rFonts w:ascii="Arial" w:hAnsi="Arial" w:cs="Arial"/>
          <w:bCs/>
          <w:sz w:val="22"/>
          <w:szCs w:val="22"/>
        </w:rPr>
      </w:pPr>
      <w:r w:rsidRPr="00466001">
        <w:rPr>
          <w:rFonts w:ascii="Arial" w:hAnsi="Arial" w:cs="Arial"/>
          <w:sz w:val="22"/>
          <w:szCs w:val="22"/>
        </w:rPr>
        <w:t xml:space="preserve">Telefónica es una de las mayores compañías de telecomunicaciones del mundo por </w:t>
      </w:r>
    </w:p>
    <w:p w:rsidR="009F60BF" w:rsidRPr="009F60BF" w:rsidRDefault="00466001" w:rsidP="00466001">
      <w:pPr>
        <w:spacing w:after="200" w:line="276" w:lineRule="auto"/>
        <w:ind w:right="-143"/>
        <w:jc w:val="both"/>
        <w:rPr>
          <w:rFonts w:ascii="Arial" w:hAnsi="Arial" w:cs="Arial"/>
          <w:sz w:val="22"/>
          <w:szCs w:val="22"/>
        </w:rPr>
      </w:pPr>
      <w:r w:rsidRPr="00466001">
        <w:rPr>
          <w:rFonts w:ascii="Arial" w:hAnsi="Arial" w:cs="Arial"/>
          <w:sz w:val="22"/>
          <w:szCs w:val="22"/>
        </w:rPr>
        <w:t>capitalización bursátil y número de clientes. Su actividad se centra fundamentalmente en los negocios de telefonía fija y telefonía móvil, con la banda ancha como herramienta clave para el desarrollo de ambos negocios.</w:t>
      </w:r>
      <w:r>
        <w:rPr>
          <w:rFonts w:ascii="Arial" w:hAnsi="Arial" w:cs="Arial"/>
          <w:sz w:val="22"/>
          <w:szCs w:val="22"/>
        </w:rPr>
        <w:t xml:space="preserve"> </w:t>
      </w:r>
      <w:r w:rsidRPr="00466001">
        <w:rPr>
          <w:rFonts w:ascii="Arial" w:hAnsi="Arial" w:cs="Arial"/>
          <w:sz w:val="22"/>
          <w:szCs w:val="22"/>
        </w:rPr>
        <w:t xml:space="preserve">Está presente en 25 países y cuenta con una base de clientes de 295 millones de accesos en todo el mundo. Telefónica tiene una fuerte presencia en España, Europa y Latinoamérica, región esta última donde la compañía concentra, fundamentalmente, su estrategia de crecimiento. </w:t>
      </w:r>
      <w:r>
        <w:rPr>
          <w:rFonts w:ascii="Arial" w:hAnsi="Arial" w:cs="Arial"/>
          <w:sz w:val="22"/>
          <w:szCs w:val="22"/>
        </w:rPr>
        <w:t xml:space="preserve"> </w:t>
      </w:r>
      <w:bookmarkStart w:id="0" w:name="_GoBack"/>
      <w:bookmarkEnd w:id="0"/>
      <w:r w:rsidRPr="00466001">
        <w:rPr>
          <w:rFonts w:ascii="Arial" w:hAnsi="Arial" w:cs="Arial"/>
          <w:sz w:val="22"/>
          <w:szCs w:val="22"/>
        </w:rPr>
        <w:t>Telefónica es una empresa totalmente privada. Cuenta con más de 1,5 millones de accionistas directos. Su capital social está dividido en la actualidad en 4.563.996.485 acciones ordinarias que cotizan en el mercado continuo de las bolsas españolas (Madrid, Barcelona, Bilbao y Valencia) y en las bolsas de Londres, Tokio, Nueva York, Lima</w:t>
      </w:r>
    </w:p>
    <w:sectPr w:rsidR="009F60BF" w:rsidRPr="009F60BF" w:rsidSect="009F60BF">
      <w:headerReference w:type="default" r:id="rId9"/>
      <w:footerReference w:type="default" r:id="rId10"/>
      <w:type w:val="continuous"/>
      <w:pgSz w:w="11907" w:h="16840"/>
      <w:pgMar w:top="2233" w:right="1418" w:bottom="226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9CF" w:rsidRDefault="00AF09CF">
      <w:r>
        <w:separator/>
      </w:r>
    </w:p>
  </w:endnote>
  <w:endnote w:type="continuationSeparator" w:id="0">
    <w:p w:rsidR="00AF09CF" w:rsidRDefault="00AF09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elefonica Headline Light">
    <w:altName w:val="Arial"/>
    <w:panose1 w:val="00000000000000000000"/>
    <w:charset w:val="00"/>
    <w:family w:val="modern"/>
    <w:notTrueType/>
    <w:pitch w:val="variable"/>
    <w:sig w:usb0="A00000AF" w:usb1="4000204A" w:usb2="00000000" w:usb3="00000000" w:csb0="0000009B" w:csb1="00000000"/>
  </w:font>
  <w:font w:name="Telefonica Text">
    <w:altName w:val="Arial"/>
    <w:panose1 w:val="00000000000000000000"/>
    <w:charset w:val="00"/>
    <w:family w:val="modern"/>
    <w:notTrueType/>
    <w:pitch w:val="variable"/>
    <w:sig w:usb0="A00000AF" w:usb1="4000204A"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Borders>
        <w:left w:val="single" w:sz="12" w:space="0" w:color="auto"/>
      </w:tblBorders>
      <w:tblLayout w:type="fixed"/>
      <w:tblCellMar>
        <w:left w:w="70" w:type="dxa"/>
        <w:right w:w="70" w:type="dxa"/>
      </w:tblCellMar>
      <w:tblLook w:val="0000"/>
    </w:tblPr>
    <w:tblGrid>
      <w:gridCol w:w="4323"/>
      <w:gridCol w:w="1134"/>
      <w:gridCol w:w="3685"/>
    </w:tblGrid>
    <w:tr w:rsidR="007710E7" w:rsidTr="00446A1C">
      <w:trPr>
        <w:trHeight w:val="857"/>
      </w:trPr>
      <w:tc>
        <w:tcPr>
          <w:tcW w:w="4323" w:type="dxa"/>
          <w:tcBorders>
            <w:top w:val="nil"/>
            <w:left w:val="nil"/>
            <w:bottom w:val="nil"/>
            <w:right w:val="nil"/>
          </w:tcBorders>
        </w:tcPr>
        <w:p w:rsidR="007710E7" w:rsidRDefault="00446A1C" w:rsidP="00446A1C">
          <w:pPr>
            <w:pStyle w:val="Piedepgina"/>
            <w:tabs>
              <w:tab w:val="left" w:pos="993"/>
            </w:tabs>
            <w:ind w:right="-779"/>
            <w:rPr>
              <w:rFonts w:ascii="Arial" w:hAnsi="Arial"/>
              <w:sz w:val="20"/>
            </w:rPr>
          </w:pPr>
          <w:r>
            <w:rPr>
              <w:rFonts w:ascii="Arial" w:hAnsi="Arial"/>
              <w:sz w:val="20"/>
            </w:rPr>
            <w:t>Comunicación y Relaciones con los Medios</w:t>
          </w:r>
        </w:p>
        <w:p w:rsidR="007710E7" w:rsidRPr="00446A1C" w:rsidRDefault="007710E7">
          <w:pPr>
            <w:pStyle w:val="Piedepgina"/>
            <w:tabs>
              <w:tab w:val="left" w:pos="993"/>
            </w:tabs>
            <w:rPr>
              <w:rFonts w:ascii="Arial" w:hAnsi="Arial"/>
              <w:sz w:val="20"/>
              <w:lang w:val="es-ES"/>
            </w:rPr>
          </w:pPr>
          <w:r w:rsidRPr="00446A1C">
            <w:rPr>
              <w:rFonts w:ascii="Arial" w:hAnsi="Arial"/>
              <w:sz w:val="20"/>
              <w:lang w:val="es-ES"/>
            </w:rPr>
            <w:t xml:space="preserve">Tlf.: + (34) 91 480 97 01   </w:t>
          </w:r>
        </w:p>
        <w:p w:rsidR="007710E7" w:rsidRPr="00446A1C" w:rsidRDefault="007710E7" w:rsidP="000A60B2">
          <w:pPr>
            <w:pStyle w:val="Piedepgina"/>
            <w:tabs>
              <w:tab w:val="left" w:pos="993"/>
            </w:tabs>
            <w:rPr>
              <w:rFonts w:ascii="Arial" w:hAnsi="Arial"/>
              <w:sz w:val="20"/>
              <w:lang w:val="es-ES"/>
            </w:rPr>
          </w:pPr>
          <w:r w:rsidRPr="00446A1C">
            <w:rPr>
              <w:rFonts w:ascii="Arial" w:hAnsi="Arial"/>
              <w:sz w:val="20"/>
              <w:lang w:val="es-ES"/>
            </w:rPr>
            <w:t>indraprensa@indra</w:t>
          </w:r>
          <w:r w:rsidR="000A60B2">
            <w:rPr>
              <w:rFonts w:ascii="Arial" w:hAnsi="Arial"/>
              <w:sz w:val="20"/>
              <w:lang w:val="es-ES"/>
            </w:rPr>
            <w:t>company</w:t>
          </w:r>
          <w:r w:rsidRPr="00446A1C">
            <w:rPr>
              <w:rFonts w:ascii="Arial" w:hAnsi="Arial"/>
              <w:sz w:val="20"/>
              <w:lang w:val="es-ES"/>
            </w:rPr>
            <w:t>.</w:t>
          </w:r>
          <w:r w:rsidR="000A60B2">
            <w:rPr>
              <w:rFonts w:ascii="Arial" w:hAnsi="Arial"/>
              <w:sz w:val="20"/>
              <w:lang w:val="es-ES"/>
            </w:rPr>
            <w:t>com</w:t>
          </w:r>
        </w:p>
      </w:tc>
      <w:tc>
        <w:tcPr>
          <w:tcW w:w="1134" w:type="dxa"/>
          <w:tcBorders>
            <w:left w:val="nil"/>
          </w:tcBorders>
        </w:tcPr>
        <w:p w:rsidR="007710E7" w:rsidRPr="00446A1C" w:rsidRDefault="007710E7">
          <w:pPr>
            <w:pStyle w:val="Piedepgina"/>
            <w:jc w:val="right"/>
            <w:rPr>
              <w:rFonts w:ascii="Arial" w:hAnsi="Arial"/>
              <w:sz w:val="20"/>
              <w:lang w:val="es-ES"/>
            </w:rPr>
          </w:pPr>
        </w:p>
        <w:p w:rsidR="007710E7" w:rsidRPr="00446A1C" w:rsidRDefault="007710E7">
          <w:pPr>
            <w:pStyle w:val="Piedepgina"/>
            <w:jc w:val="right"/>
            <w:rPr>
              <w:rFonts w:ascii="Arial" w:hAnsi="Arial"/>
              <w:sz w:val="20"/>
              <w:lang w:val="es-ES"/>
            </w:rPr>
          </w:pPr>
        </w:p>
      </w:tc>
      <w:tc>
        <w:tcPr>
          <w:tcW w:w="3685" w:type="dxa"/>
        </w:tcPr>
        <w:p w:rsidR="007710E7" w:rsidRPr="00446A1C" w:rsidRDefault="007710E7">
          <w:pPr>
            <w:pStyle w:val="Piedepgina"/>
            <w:jc w:val="right"/>
            <w:rPr>
              <w:rFonts w:ascii="Arial" w:hAnsi="Arial"/>
              <w:sz w:val="20"/>
              <w:highlight w:val="yellow"/>
              <w:lang w:val="es-ES"/>
            </w:rPr>
          </w:pPr>
        </w:p>
        <w:p w:rsidR="007710E7" w:rsidRPr="00446A1C" w:rsidRDefault="007710E7">
          <w:pPr>
            <w:pStyle w:val="Piedepgina"/>
            <w:jc w:val="right"/>
            <w:rPr>
              <w:rFonts w:ascii="Arial" w:hAnsi="Arial"/>
              <w:sz w:val="20"/>
              <w:highlight w:val="yellow"/>
              <w:lang w:val="es-ES"/>
            </w:rPr>
          </w:pPr>
        </w:p>
        <w:p w:rsidR="007710E7" w:rsidRDefault="001370B3" w:rsidP="00D24025">
          <w:pPr>
            <w:pStyle w:val="Piedepgina"/>
            <w:jc w:val="right"/>
            <w:rPr>
              <w:rFonts w:ascii="Arial" w:hAnsi="Arial"/>
              <w:sz w:val="20"/>
              <w:highlight w:val="yellow"/>
            </w:rPr>
          </w:pPr>
          <w:r>
            <w:rPr>
              <w:rFonts w:ascii="Arial" w:hAnsi="Arial"/>
              <w:sz w:val="20"/>
            </w:rPr>
            <w:t>Madrid,</w:t>
          </w:r>
          <w:r w:rsidR="001809C2">
            <w:rPr>
              <w:rFonts w:ascii="Arial" w:hAnsi="Arial"/>
              <w:sz w:val="20"/>
            </w:rPr>
            <w:t>13</w:t>
          </w:r>
          <w:r w:rsidR="0075615B">
            <w:rPr>
              <w:rFonts w:ascii="Arial" w:hAnsi="Arial"/>
              <w:sz w:val="20"/>
            </w:rPr>
            <w:t xml:space="preserve"> de</w:t>
          </w:r>
          <w:r w:rsidR="005853DF">
            <w:rPr>
              <w:rFonts w:ascii="Arial" w:hAnsi="Arial"/>
              <w:sz w:val="20"/>
            </w:rPr>
            <w:t xml:space="preserve"> </w:t>
          </w:r>
          <w:r w:rsidR="00D24025">
            <w:rPr>
              <w:rFonts w:ascii="Arial" w:hAnsi="Arial"/>
              <w:sz w:val="20"/>
            </w:rPr>
            <w:t>diciembre de</w:t>
          </w:r>
          <w:r w:rsidR="005853DF">
            <w:rPr>
              <w:rFonts w:ascii="Arial" w:hAnsi="Arial"/>
              <w:sz w:val="20"/>
            </w:rPr>
            <w:t xml:space="preserve"> </w:t>
          </w:r>
          <w:r w:rsidR="007710E7">
            <w:rPr>
              <w:rFonts w:ascii="Arial" w:hAnsi="Arial"/>
              <w:sz w:val="20"/>
            </w:rPr>
            <w:t xml:space="preserve"> 201</w:t>
          </w:r>
          <w:r>
            <w:rPr>
              <w:rFonts w:ascii="Arial" w:hAnsi="Arial"/>
              <w:sz w:val="20"/>
            </w:rPr>
            <w:t>2</w:t>
          </w:r>
        </w:p>
      </w:tc>
    </w:tr>
  </w:tbl>
  <w:p w:rsidR="007710E7" w:rsidRDefault="007710E7">
    <w:pPr>
      <w:pStyle w:val="Piedepgina"/>
      <w:jc w:val="right"/>
      <w:rPr>
        <w:rFonts w:ascii="Arial" w:hAnsi="Arial"/>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9CF" w:rsidRDefault="00AF09CF">
      <w:r>
        <w:separator/>
      </w:r>
    </w:p>
  </w:footnote>
  <w:footnote w:type="continuationSeparator" w:id="0">
    <w:p w:rsidR="00AF09CF" w:rsidRDefault="00AF09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E7" w:rsidRDefault="00F141AB">
    <w:pPr>
      <w:pStyle w:val="Encabezado"/>
    </w:pPr>
    <w:r>
      <w:rPr>
        <w:noProof/>
        <w:lang w:val="es-ES"/>
      </w:rPr>
      <w:drawing>
        <wp:anchor distT="0" distB="0" distL="114300" distR="114300" simplePos="0" relativeHeight="251657728" behindDoc="0" locked="0" layoutInCell="1" allowOverlap="1">
          <wp:simplePos x="0" y="0"/>
          <wp:positionH relativeFrom="column">
            <wp:posOffset>2557145</wp:posOffset>
          </wp:positionH>
          <wp:positionV relativeFrom="paragraph">
            <wp:posOffset>-454660</wp:posOffset>
          </wp:positionV>
          <wp:extent cx="4103370" cy="1385570"/>
          <wp:effectExtent l="19050" t="0" r="0" b="0"/>
          <wp:wrapSquare wrapText="bothSides"/>
          <wp:docPr id="4" name="Imagen 4" descr="fracatal-verde-nota-de-pren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atal-verde-nota-de-prensa2"/>
                  <pic:cNvPicPr>
                    <a:picLocks noChangeAspect="1" noChangeArrowheads="1"/>
                  </pic:cNvPicPr>
                </pic:nvPicPr>
                <pic:blipFill>
                  <a:blip r:embed="rId1"/>
                  <a:srcRect t="31697"/>
                  <a:stretch>
                    <a:fillRect/>
                  </a:stretch>
                </pic:blipFill>
                <pic:spPr bwMode="auto">
                  <a:xfrm>
                    <a:off x="0" y="0"/>
                    <a:ext cx="4103370" cy="138557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9pt;height:32.25pt;visibility:visible;mso-wrap-style:square" o:bullet="t">
        <v:imagedata r:id="rId1" o:title=""/>
      </v:shape>
    </w:pict>
  </w:numPicBullet>
  <w:abstractNum w:abstractNumId="0">
    <w:nsid w:val="00C36B21"/>
    <w:multiLevelType w:val="hybridMultilevel"/>
    <w:tmpl w:val="627A693A"/>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9382634"/>
    <w:multiLevelType w:val="hybridMultilevel"/>
    <w:tmpl w:val="B0507CFC"/>
    <w:lvl w:ilvl="0" w:tplc="2AEAB028">
      <w:start w:val="1"/>
      <w:numFmt w:val="bullet"/>
      <w:lvlText w:val=""/>
      <w:lvlJc w:val="left"/>
      <w:pPr>
        <w:tabs>
          <w:tab w:val="num" w:pos="360"/>
        </w:tabs>
        <w:ind w:left="36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2">
    <w:nsid w:val="1A752AEC"/>
    <w:multiLevelType w:val="hybridMultilevel"/>
    <w:tmpl w:val="D9DC53D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C9E15F8"/>
    <w:multiLevelType w:val="hybridMultilevel"/>
    <w:tmpl w:val="F4085FB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DD93EA2"/>
    <w:multiLevelType w:val="hybridMultilevel"/>
    <w:tmpl w:val="33D27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4351A6"/>
    <w:multiLevelType w:val="hybridMultilevel"/>
    <w:tmpl w:val="700A8DC6"/>
    <w:lvl w:ilvl="0" w:tplc="0C0A0001">
      <w:start w:val="1"/>
      <w:numFmt w:val="bullet"/>
      <w:lvlText w:val=""/>
      <w:lvlJc w:val="left"/>
      <w:pPr>
        <w:tabs>
          <w:tab w:val="num" w:pos="720"/>
        </w:tabs>
        <w:ind w:left="720" w:hanging="360"/>
      </w:pPr>
      <w:rPr>
        <w:rFonts w:ascii="Symbol" w:hAnsi="Symbol" w:hint="default"/>
      </w:rPr>
    </w:lvl>
    <w:lvl w:ilvl="1" w:tplc="CD0CD134">
      <w:numFmt w:val="bullet"/>
      <w:lvlText w:val=""/>
      <w:lvlJc w:val="left"/>
      <w:pPr>
        <w:tabs>
          <w:tab w:val="num" w:pos="1440"/>
        </w:tabs>
        <w:ind w:left="1440" w:hanging="360"/>
      </w:pPr>
      <w:rPr>
        <w:rFonts w:ascii="Symbol" w:eastAsia="Franklin Gothic Medium" w:hAnsi="Symbol" w:cs="Aria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B051B1F"/>
    <w:multiLevelType w:val="hybridMultilevel"/>
    <w:tmpl w:val="569AC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4B139AA"/>
    <w:multiLevelType w:val="hybridMultilevel"/>
    <w:tmpl w:val="CF463298"/>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3C9D1FAF"/>
    <w:multiLevelType w:val="hybridMultilevel"/>
    <w:tmpl w:val="4E14CB2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471E16A6"/>
    <w:multiLevelType w:val="hybridMultilevel"/>
    <w:tmpl w:val="36608D7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520B3664"/>
    <w:multiLevelType w:val="multilevel"/>
    <w:tmpl w:val="4E14CB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4C02342"/>
    <w:multiLevelType w:val="hybridMultilevel"/>
    <w:tmpl w:val="B79C52E8"/>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55474779"/>
    <w:multiLevelType w:val="hybridMultilevel"/>
    <w:tmpl w:val="7312EC04"/>
    <w:lvl w:ilvl="0" w:tplc="AC027CF2">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nsid w:val="65A25485"/>
    <w:multiLevelType w:val="hybridMultilevel"/>
    <w:tmpl w:val="92DA26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8D02F36"/>
    <w:multiLevelType w:val="multilevel"/>
    <w:tmpl w:val="7312EC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F4D3A1E"/>
    <w:multiLevelType w:val="hybridMultilevel"/>
    <w:tmpl w:val="89BEAFA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1870E4D"/>
    <w:multiLevelType w:val="hybridMultilevel"/>
    <w:tmpl w:val="B6DA6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7E26575"/>
    <w:multiLevelType w:val="singleLevel"/>
    <w:tmpl w:val="460E0A3E"/>
    <w:lvl w:ilvl="0">
      <w:numFmt w:val="bullet"/>
      <w:lvlText w:val=""/>
      <w:lvlJc w:val="left"/>
      <w:pPr>
        <w:tabs>
          <w:tab w:val="num" w:pos="405"/>
        </w:tabs>
        <w:ind w:left="405" w:hanging="360"/>
      </w:pPr>
      <w:rPr>
        <w:rFonts w:ascii="Wingdings" w:hAnsi="Wingdings" w:hint="default"/>
      </w:rPr>
    </w:lvl>
  </w:abstractNum>
  <w:abstractNum w:abstractNumId="18">
    <w:nsid w:val="79DB09B4"/>
    <w:multiLevelType w:val="hybridMultilevel"/>
    <w:tmpl w:val="9CDAF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10"/>
  </w:num>
  <w:num w:numId="9">
    <w:abstractNumId w:val="9"/>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11"/>
  </w:num>
  <w:num w:numId="14">
    <w:abstractNumId w:val="3"/>
  </w:num>
  <w:num w:numId="15">
    <w:abstractNumId w:val="0"/>
  </w:num>
  <w:num w:numId="16">
    <w:abstractNumId w:val="7"/>
  </w:num>
  <w:num w:numId="17">
    <w:abstractNumId w:val="4"/>
  </w:num>
  <w:num w:numId="18">
    <w:abstractNumId w:val="16"/>
  </w:num>
  <w:num w:numId="19">
    <w:abstractNumId w:val="6"/>
  </w:num>
  <w:num w:numId="20">
    <w:abstractNumId w:val="6"/>
  </w:num>
  <w:num w:numId="21">
    <w:abstractNumId w:val="1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style="v-text-anchor:middle" fill="f" fillcolor="#d0bb96" strokecolor="#596e97">
      <v:fill color="#d0bb96" on="f"/>
      <v:stroke color="#596e97"/>
      <v:shadow color="#d0d5de"/>
    </o:shapedefaults>
  </w:hdrShapeDefaults>
  <w:footnotePr>
    <w:footnote w:id="-1"/>
    <w:footnote w:id="0"/>
  </w:footnotePr>
  <w:endnotePr>
    <w:endnote w:id="-1"/>
    <w:endnote w:id="0"/>
  </w:endnotePr>
  <w:compat/>
  <w:rsids>
    <w:rsidRoot w:val="005D21D2"/>
    <w:rsid w:val="000018FB"/>
    <w:rsid w:val="00035CFA"/>
    <w:rsid w:val="0007345F"/>
    <w:rsid w:val="00097F24"/>
    <w:rsid w:val="000A60B2"/>
    <w:rsid w:val="000A6D9D"/>
    <w:rsid w:val="000C53BC"/>
    <w:rsid w:val="000F470E"/>
    <w:rsid w:val="00101633"/>
    <w:rsid w:val="00107094"/>
    <w:rsid w:val="0011464B"/>
    <w:rsid w:val="00125E72"/>
    <w:rsid w:val="001370B3"/>
    <w:rsid w:val="00160866"/>
    <w:rsid w:val="001706CC"/>
    <w:rsid w:val="00174091"/>
    <w:rsid w:val="001809C2"/>
    <w:rsid w:val="0019375D"/>
    <w:rsid w:val="00197865"/>
    <w:rsid w:val="001C4EC4"/>
    <w:rsid w:val="00200E0B"/>
    <w:rsid w:val="0020555E"/>
    <w:rsid w:val="00207270"/>
    <w:rsid w:val="00212DE8"/>
    <w:rsid w:val="002337C0"/>
    <w:rsid w:val="00266ACF"/>
    <w:rsid w:val="002906BF"/>
    <w:rsid w:val="002A2DC7"/>
    <w:rsid w:val="002A7A55"/>
    <w:rsid w:val="002B37C8"/>
    <w:rsid w:val="002C20E1"/>
    <w:rsid w:val="002D4282"/>
    <w:rsid w:val="002D4440"/>
    <w:rsid w:val="002F2E86"/>
    <w:rsid w:val="002F3DF2"/>
    <w:rsid w:val="002F6951"/>
    <w:rsid w:val="00307A6B"/>
    <w:rsid w:val="00307EA6"/>
    <w:rsid w:val="00313BF8"/>
    <w:rsid w:val="003208CC"/>
    <w:rsid w:val="00340219"/>
    <w:rsid w:val="00362E5C"/>
    <w:rsid w:val="00370932"/>
    <w:rsid w:val="003834E7"/>
    <w:rsid w:val="003C0CCC"/>
    <w:rsid w:val="003F5C43"/>
    <w:rsid w:val="00446A1C"/>
    <w:rsid w:val="00466001"/>
    <w:rsid w:val="004944F8"/>
    <w:rsid w:val="004D736D"/>
    <w:rsid w:val="005045F5"/>
    <w:rsid w:val="00524CB3"/>
    <w:rsid w:val="0053000B"/>
    <w:rsid w:val="0055645A"/>
    <w:rsid w:val="00556A3F"/>
    <w:rsid w:val="00557666"/>
    <w:rsid w:val="005628B9"/>
    <w:rsid w:val="0057034A"/>
    <w:rsid w:val="0057184B"/>
    <w:rsid w:val="005853DF"/>
    <w:rsid w:val="005A2773"/>
    <w:rsid w:val="005A35DD"/>
    <w:rsid w:val="005B3102"/>
    <w:rsid w:val="005B5871"/>
    <w:rsid w:val="005D02D4"/>
    <w:rsid w:val="005D21D2"/>
    <w:rsid w:val="005D2C7B"/>
    <w:rsid w:val="00632994"/>
    <w:rsid w:val="006444D0"/>
    <w:rsid w:val="00657772"/>
    <w:rsid w:val="00690D02"/>
    <w:rsid w:val="00690EE6"/>
    <w:rsid w:val="006A2073"/>
    <w:rsid w:val="006A4D5E"/>
    <w:rsid w:val="006B4B13"/>
    <w:rsid w:val="006D7AE5"/>
    <w:rsid w:val="006E006A"/>
    <w:rsid w:val="00717D42"/>
    <w:rsid w:val="00742C13"/>
    <w:rsid w:val="0075615B"/>
    <w:rsid w:val="0076052A"/>
    <w:rsid w:val="00761FF7"/>
    <w:rsid w:val="007710E7"/>
    <w:rsid w:val="0079740F"/>
    <w:rsid w:val="007C6F70"/>
    <w:rsid w:val="007D0315"/>
    <w:rsid w:val="00804E2C"/>
    <w:rsid w:val="00812D5B"/>
    <w:rsid w:val="0081387D"/>
    <w:rsid w:val="00816CC1"/>
    <w:rsid w:val="0082167B"/>
    <w:rsid w:val="00841BF7"/>
    <w:rsid w:val="00844641"/>
    <w:rsid w:val="00862462"/>
    <w:rsid w:val="00882286"/>
    <w:rsid w:val="008904DE"/>
    <w:rsid w:val="008C165A"/>
    <w:rsid w:val="008C6156"/>
    <w:rsid w:val="008C7EC7"/>
    <w:rsid w:val="008E390B"/>
    <w:rsid w:val="008E3BE1"/>
    <w:rsid w:val="008E60AE"/>
    <w:rsid w:val="008F233D"/>
    <w:rsid w:val="00924CB3"/>
    <w:rsid w:val="00926823"/>
    <w:rsid w:val="00956FA2"/>
    <w:rsid w:val="009839F6"/>
    <w:rsid w:val="00984611"/>
    <w:rsid w:val="009A1020"/>
    <w:rsid w:val="009D5603"/>
    <w:rsid w:val="009E6E82"/>
    <w:rsid w:val="009F60BF"/>
    <w:rsid w:val="00A268C4"/>
    <w:rsid w:val="00A45E24"/>
    <w:rsid w:val="00AA67BC"/>
    <w:rsid w:val="00AD0280"/>
    <w:rsid w:val="00AE1365"/>
    <w:rsid w:val="00AE4646"/>
    <w:rsid w:val="00AE7F52"/>
    <w:rsid w:val="00AF09CF"/>
    <w:rsid w:val="00B02712"/>
    <w:rsid w:val="00B027F3"/>
    <w:rsid w:val="00B13A5C"/>
    <w:rsid w:val="00B20B04"/>
    <w:rsid w:val="00B21377"/>
    <w:rsid w:val="00B21C70"/>
    <w:rsid w:val="00B222AB"/>
    <w:rsid w:val="00B41F9A"/>
    <w:rsid w:val="00B55F95"/>
    <w:rsid w:val="00B7474B"/>
    <w:rsid w:val="00B86256"/>
    <w:rsid w:val="00BB6ACB"/>
    <w:rsid w:val="00BC0AD6"/>
    <w:rsid w:val="00BC5125"/>
    <w:rsid w:val="00BE27E0"/>
    <w:rsid w:val="00C00FAB"/>
    <w:rsid w:val="00C102DF"/>
    <w:rsid w:val="00C75C4F"/>
    <w:rsid w:val="00C82142"/>
    <w:rsid w:val="00C82588"/>
    <w:rsid w:val="00CC38CF"/>
    <w:rsid w:val="00CD073F"/>
    <w:rsid w:val="00CD295C"/>
    <w:rsid w:val="00CE2F8B"/>
    <w:rsid w:val="00CF3102"/>
    <w:rsid w:val="00CF6E3F"/>
    <w:rsid w:val="00D11F00"/>
    <w:rsid w:val="00D24025"/>
    <w:rsid w:val="00D37B88"/>
    <w:rsid w:val="00D54B57"/>
    <w:rsid w:val="00D74E1B"/>
    <w:rsid w:val="00D8407B"/>
    <w:rsid w:val="00DA376F"/>
    <w:rsid w:val="00E00315"/>
    <w:rsid w:val="00E05FB0"/>
    <w:rsid w:val="00E2109B"/>
    <w:rsid w:val="00E30C32"/>
    <w:rsid w:val="00E57656"/>
    <w:rsid w:val="00E72D33"/>
    <w:rsid w:val="00E80C68"/>
    <w:rsid w:val="00E85A4E"/>
    <w:rsid w:val="00E920B6"/>
    <w:rsid w:val="00E96392"/>
    <w:rsid w:val="00EA34A5"/>
    <w:rsid w:val="00EB5DA0"/>
    <w:rsid w:val="00EC3733"/>
    <w:rsid w:val="00EE30ED"/>
    <w:rsid w:val="00F141AB"/>
    <w:rsid w:val="00F268FC"/>
    <w:rsid w:val="00F27ABA"/>
    <w:rsid w:val="00F96701"/>
    <w:rsid w:val="00F9704C"/>
    <w:rsid w:val="00FA3B41"/>
    <w:rsid w:val="00FB21E1"/>
    <w:rsid w:val="00FE40CE"/>
    <w:rsid w:val="00FE5E41"/>
    <w:rsid w:val="00FF04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v-text-anchor:middle" fill="f" fillcolor="#d0bb96" strokecolor="#596e97">
      <v:fill color="#d0bb96" on="f"/>
      <v:stroke color="#596e97"/>
      <v:shadow color="#d0d5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74B"/>
    <w:rPr>
      <w:sz w:val="24"/>
      <w:lang w:val="es-ES_tradnl"/>
    </w:rPr>
  </w:style>
  <w:style w:type="paragraph" w:styleId="Ttulo1">
    <w:name w:val="heading 1"/>
    <w:basedOn w:val="Normal"/>
    <w:next w:val="Normal"/>
    <w:qFormat/>
    <w:rsid w:val="00B7474B"/>
    <w:pPr>
      <w:keepNext/>
      <w:suppressAutoHyphens/>
      <w:jc w:val="center"/>
      <w:outlineLvl w:val="0"/>
    </w:pPr>
    <w:rPr>
      <w:rFonts w:ascii="Arial" w:hAnsi="Arial"/>
      <w:b/>
    </w:rPr>
  </w:style>
  <w:style w:type="paragraph" w:styleId="Ttulo3">
    <w:name w:val="heading 3"/>
    <w:basedOn w:val="Normal"/>
    <w:next w:val="Normal"/>
    <w:link w:val="Ttulo3Car"/>
    <w:semiHidden/>
    <w:unhideWhenUsed/>
    <w:qFormat/>
    <w:rsid w:val="008904D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7474B"/>
    <w:pPr>
      <w:tabs>
        <w:tab w:val="center" w:pos="4252"/>
        <w:tab w:val="right" w:pos="8504"/>
      </w:tabs>
    </w:pPr>
  </w:style>
  <w:style w:type="paragraph" w:styleId="Piedepgina">
    <w:name w:val="footer"/>
    <w:basedOn w:val="Normal"/>
    <w:rsid w:val="00B7474B"/>
    <w:pPr>
      <w:tabs>
        <w:tab w:val="center" w:pos="4252"/>
        <w:tab w:val="right" w:pos="8504"/>
      </w:tabs>
    </w:pPr>
  </w:style>
  <w:style w:type="paragraph" w:styleId="Textoindependiente">
    <w:name w:val="Body Text"/>
    <w:basedOn w:val="Normal"/>
    <w:rsid w:val="00B7474B"/>
    <w:pPr>
      <w:suppressAutoHyphens/>
      <w:jc w:val="both"/>
    </w:pPr>
    <w:rPr>
      <w:rFonts w:ascii="Arial" w:hAnsi="Arial"/>
    </w:rPr>
  </w:style>
  <w:style w:type="paragraph" w:styleId="Textoindependiente2">
    <w:name w:val="Body Text 2"/>
    <w:basedOn w:val="Normal"/>
    <w:rsid w:val="00B7474B"/>
    <w:pPr>
      <w:jc w:val="both"/>
    </w:pPr>
    <w:rPr>
      <w:rFonts w:ascii="Arial" w:hAnsi="Arial" w:cs="Arial"/>
      <w:szCs w:val="24"/>
      <w:lang w:val="es-ES"/>
    </w:rPr>
  </w:style>
  <w:style w:type="paragraph" w:styleId="Sangra3detindependiente">
    <w:name w:val="Body Text Indent 3"/>
    <w:basedOn w:val="Normal"/>
    <w:rsid w:val="00B7474B"/>
    <w:pPr>
      <w:spacing w:after="120"/>
      <w:ind w:left="283"/>
    </w:pPr>
    <w:rPr>
      <w:sz w:val="16"/>
      <w:szCs w:val="16"/>
    </w:rPr>
  </w:style>
  <w:style w:type="character" w:styleId="Hipervnculo">
    <w:name w:val="Hyperlink"/>
    <w:basedOn w:val="Fuentedeprrafopredeter"/>
    <w:rsid w:val="00B7474B"/>
    <w:rPr>
      <w:strike w:val="0"/>
      <w:dstrike w:val="0"/>
      <w:color w:val="0000FF"/>
      <w:u w:val="none"/>
      <w:effect w:val="none"/>
    </w:rPr>
  </w:style>
  <w:style w:type="paragraph" w:styleId="NormalWeb">
    <w:name w:val="Normal (Web)"/>
    <w:basedOn w:val="Normal"/>
    <w:uiPriority w:val="99"/>
    <w:rsid w:val="00B7474B"/>
    <w:rPr>
      <w:szCs w:val="24"/>
      <w:lang w:val="es-ES"/>
    </w:rPr>
  </w:style>
  <w:style w:type="paragraph" w:styleId="Textodeglobo">
    <w:name w:val="Balloon Text"/>
    <w:basedOn w:val="Normal"/>
    <w:semiHidden/>
    <w:rsid w:val="00B7474B"/>
    <w:rPr>
      <w:rFonts w:ascii="Tahoma" w:hAnsi="Tahoma" w:cs="Tahoma"/>
      <w:sz w:val="16"/>
      <w:szCs w:val="16"/>
    </w:rPr>
  </w:style>
  <w:style w:type="character" w:styleId="Textoennegrita">
    <w:name w:val="Strong"/>
    <w:basedOn w:val="Fuentedeprrafopredeter"/>
    <w:uiPriority w:val="22"/>
    <w:qFormat/>
    <w:rsid w:val="007E7DFD"/>
    <w:rPr>
      <w:b/>
      <w:bCs/>
    </w:rPr>
  </w:style>
  <w:style w:type="character" w:styleId="Refdecomentario">
    <w:name w:val="annotation reference"/>
    <w:basedOn w:val="Fuentedeprrafopredeter"/>
    <w:rsid w:val="00EB5DA0"/>
    <w:rPr>
      <w:sz w:val="16"/>
      <w:szCs w:val="16"/>
    </w:rPr>
  </w:style>
  <w:style w:type="paragraph" w:styleId="Textocomentario">
    <w:name w:val="annotation text"/>
    <w:basedOn w:val="Normal"/>
    <w:link w:val="TextocomentarioCar"/>
    <w:rsid w:val="00EB5DA0"/>
    <w:rPr>
      <w:sz w:val="20"/>
    </w:rPr>
  </w:style>
  <w:style w:type="character" w:customStyle="1" w:styleId="TextocomentarioCar">
    <w:name w:val="Texto comentario Car"/>
    <w:basedOn w:val="Fuentedeprrafopredeter"/>
    <w:link w:val="Textocomentario"/>
    <w:rsid w:val="00EB5DA0"/>
    <w:rPr>
      <w:lang w:val="es-ES_tradnl"/>
    </w:rPr>
  </w:style>
  <w:style w:type="paragraph" w:styleId="Asuntodelcomentario">
    <w:name w:val="annotation subject"/>
    <w:basedOn w:val="Textocomentario"/>
    <w:next w:val="Textocomentario"/>
    <w:link w:val="AsuntodelcomentarioCar"/>
    <w:rsid w:val="00EB5DA0"/>
    <w:rPr>
      <w:b/>
      <w:bCs/>
    </w:rPr>
  </w:style>
  <w:style w:type="character" w:customStyle="1" w:styleId="AsuntodelcomentarioCar">
    <w:name w:val="Asunto del comentario Car"/>
    <w:basedOn w:val="TextocomentarioCar"/>
    <w:link w:val="Asuntodelcomentario"/>
    <w:rsid w:val="00EB5DA0"/>
    <w:rPr>
      <w:b/>
      <w:bCs/>
      <w:lang w:val="es-ES_tradnl"/>
    </w:rPr>
  </w:style>
  <w:style w:type="character" w:customStyle="1" w:styleId="Ttulo3Car">
    <w:name w:val="Título 3 Car"/>
    <w:basedOn w:val="Fuentedeprrafopredeter"/>
    <w:link w:val="Ttulo3"/>
    <w:semiHidden/>
    <w:rsid w:val="008904DE"/>
    <w:rPr>
      <w:rFonts w:asciiTheme="majorHAnsi" w:eastAsiaTheme="majorEastAsia" w:hAnsiTheme="majorHAnsi" w:cstheme="majorBidi"/>
      <w:b/>
      <w:bCs/>
      <w:color w:val="4F81BD" w:themeColor="accent1"/>
      <w:sz w:val="24"/>
      <w:lang w:val="es-ES_tradnl"/>
    </w:rPr>
  </w:style>
  <w:style w:type="paragraph" w:styleId="Prrafodelista">
    <w:name w:val="List Paragraph"/>
    <w:basedOn w:val="Normal"/>
    <w:qFormat/>
    <w:rsid w:val="008904DE"/>
    <w:pPr>
      <w:suppressAutoHyphens/>
      <w:ind w:left="720"/>
    </w:pPr>
    <w:rPr>
      <w:rFonts w:ascii="Calibri" w:eastAsia="Calibri" w:hAnsi="Calibri"/>
      <w:sz w:val="22"/>
      <w:szCs w:val="22"/>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74B"/>
    <w:rPr>
      <w:sz w:val="24"/>
      <w:lang w:val="es-ES_tradnl"/>
    </w:rPr>
  </w:style>
  <w:style w:type="paragraph" w:styleId="Ttulo1">
    <w:name w:val="heading 1"/>
    <w:basedOn w:val="Normal"/>
    <w:next w:val="Normal"/>
    <w:qFormat/>
    <w:rsid w:val="00B7474B"/>
    <w:pPr>
      <w:keepNext/>
      <w:suppressAutoHyphens/>
      <w:jc w:val="center"/>
      <w:outlineLvl w:val="0"/>
    </w:pPr>
    <w:rPr>
      <w:rFonts w:ascii="Arial" w:hAnsi="Arial"/>
      <w:b/>
    </w:rPr>
  </w:style>
  <w:style w:type="paragraph" w:styleId="Ttulo3">
    <w:name w:val="heading 3"/>
    <w:basedOn w:val="Normal"/>
    <w:next w:val="Normal"/>
    <w:link w:val="Ttulo3Car"/>
    <w:semiHidden/>
    <w:unhideWhenUsed/>
    <w:qFormat/>
    <w:rsid w:val="008904D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7474B"/>
    <w:pPr>
      <w:tabs>
        <w:tab w:val="center" w:pos="4252"/>
        <w:tab w:val="right" w:pos="8504"/>
      </w:tabs>
    </w:pPr>
  </w:style>
  <w:style w:type="paragraph" w:styleId="Piedepgina">
    <w:name w:val="footer"/>
    <w:basedOn w:val="Normal"/>
    <w:rsid w:val="00B7474B"/>
    <w:pPr>
      <w:tabs>
        <w:tab w:val="center" w:pos="4252"/>
        <w:tab w:val="right" w:pos="8504"/>
      </w:tabs>
    </w:pPr>
  </w:style>
  <w:style w:type="paragraph" w:styleId="Textoindependiente">
    <w:name w:val="Body Text"/>
    <w:basedOn w:val="Normal"/>
    <w:rsid w:val="00B7474B"/>
    <w:pPr>
      <w:suppressAutoHyphens/>
      <w:jc w:val="both"/>
    </w:pPr>
    <w:rPr>
      <w:rFonts w:ascii="Arial" w:hAnsi="Arial"/>
    </w:rPr>
  </w:style>
  <w:style w:type="paragraph" w:styleId="Textoindependiente2">
    <w:name w:val="Body Text 2"/>
    <w:basedOn w:val="Normal"/>
    <w:rsid w:val="00B7474B"/>
    <w:pPr>
      <w:jc w:val="both"/>
    </w:pPr>
    <w:rPr>
      <w:rFonts w:ascii="Arial" w:hAnsi="Arial" w:cs="Arial"/>
      <w:szCs w:val="24"/>
      <w:lang w:val="es-ES"/>
    </w:rPr>
  </w:style>
  <w:style w:type="paragraph" w:styleId="Sangra3detindependiente">
    <w:name w:val="Body Text Indent 3"/>
    <w:basedOn w:val="Normal"/>
    <w:rsid w:val="00B7474B"/>
    <w:pPr>
      <w:spacing w:after="120"/>
      <w:ind w:left="283"/>
    </w:pPr>
    <w:rPr>
      <w:sz w:val="16"/>
      <w:szCs w:val="16"/>
    </w:rPr>
  </w:style>
  <w:style w:type="character" w:styleId="Hipervnculo">
    <w:name w:val="Hyperlink"/>
    <w:basedOn w:val="Fuentedeprrafopredeter"/>
    <w:rsid w:val="00B7474B"/>
    <w:rPr>
      <w:strike w:val="0"/>
      <w:dstrike w:val="0"/>
      <w:color w:val="0000FF"/>
      <w:u w:val="none"/>
      <w:effect w:val="none"/>
    </w:rPr>
  </w:style>
  <w:style w:type="paragraph" w:styleId="NormalWeb">
    <w:name w:val="Normal (Web)"/>
    <w:basedOn w:val="Normal"/>
    <w:uiPriority w:val="99"/>
    <w:rsid w:val="00B7474B"/>
    <w:rPr>
      <w:szCs w:val="24"/>
      <w:lang w:val="es-ES"/>
    </w:rPr>
  </w:style>
  <w:style w:type="paragraph" w:styleId="Textodeglobo">
    <w:name w:val="Balloon Text"/>
    <w:basedOn w:val="Normal"/>
    <w:semiHidden/>
    <w:rsid w:val="00B7474B"/>
    <w:rPr>
      <w:rFonts w:ascii="Tahoma" w:hAnsi="Tahoma" w:cs="Tahoma"/>
      <w:sz w:val="16"/>
      <w:szCs w:val="16"/>
    </w:rPr>
  </w:style>
  <w:style w:type="character" w:styleId="Textoennegrita">
    <w:name w:val="Strong"/>
    <w:basedOn w:val="Fuentedeprrafopredeter"/>
    <w:uiPriority w:val="22"/>
    <w:qFormat/>
    <w:rsid w:val="007E7DFD"/>
    <w:rPr>
      <w:b/>
      <w:bCs/>
    </w:rPr>
  </w:style>
  <w:style w:type="character" w:styleId="Refdecomentario">
    <w:name w:val="annotation reference"/>
    <w:basedOn w:val="Fuentedeprrafopredeter"/>
    <w:rsid w:val="00EB5DA0"/>
    <w:rPr>
      <w:sz w:val="16"/>
      <w:szCs w:val="16"/>
    </w:rPr>
  </w:style>
  <w:style w:type="paragraph" w:styleId="Textocomentario">
    <w:name w:val="annotation text"/>
    <w:basedOn w:val="Normal"/>
    <w:link w:val="TextocomentarioCar"/>
    <w:rsid w:val="00EB5DA0"/>
    <w:rPr>
      <w:sz w:val="20"/>
    </w:rPr>
  </w:style>
  <w:style w:type="character" w:customStyle="1" w:styleId="TextocomentarioCar">
    <w:name w:val="Texto comentario Car"/>
    <w:basedOn w:val="Fuentedeprrafopredeter"/>
    <w:link w:val="Textocomentario"/>
    <w:rsid w:val="00EB5DA0"/>
    <w:rPr>
      <w:lang w:val="es-ES_tradnl"/>
    </w:rPr>
  </w:style>
  <w:style w:type="paragraph" w:styleId="Asuntodelcomentario">
    <w:name w:val="annotation subject"/>
    <w:basedOn w:val="Textocomentario"/>
    <w:next w:val="Textocomentario"/>
    <w:link w:val="AsuntodelcomentarioCar"/>
    <w:rsid w:val="00EB5DA0"/>
    <w:rPr>
      <w:b/>
      <w:bCs/>
    </w:rPr>
  </w:style>
  <w:style w:type="character" w:customStyle="1" w:styleId="AsuntodelcomentarioCar">
    <w:name w:val="Asunto del comentario Car"/>
    <w:basedOn w:val="TextocomentarioCar"/>
    <w:link w:val="Asuntodelcomentario"/>
    <w:rsid w:val="00EB5DA0"/>
    <w:rPr>
      <w:b/>
      <w:bCs/>
      <w:lang w:val="es-ES_tradnl"/>
    </w:rPr>
  </w:style>
  <w:style w:type="character" w:customStyle="1" w:styleId="Ttulo3Car">
    <w:name w:val="Título 3 Car"/>
    <w:basedOn w:val="Fuentedeprrafopredeter"/>
    <w:link w:val="Ttulo3"/>
    <w:semiHidden/>
    <w:rsid w:val="008904DE"/>
    <w:rPr>
      <w:rFonts w:asciiTheme="majorHAnsi" w:eastAsiaTheme="majorEastAsia" w:hAnsiTheme="majorHAnsi" w:cstheme="majorBidi"/>
      <w:b/>
      <w:bCs/>
      <w:color w:val="4F81BD" w:themeColor="accent1"/>
      <w:sz w:val="24"/>
      <w:lang w:val="es-ES_tradnl"/>
    </w:rPr>
  </w:style>
  <w:style w:type="paragraph" w:styleId="Prrafodelista">
    <w:name w:val="List Paragraph"/>
    <w:basedOn w:val="Normal"/>
    <w:qFormat/>
    <w:rsid w:val="008904DE"/>
    <w:pPr>
      <w:suppressAutoHyphens/>
      <w:ind w:left="720"/>
    </w:pPr>
    <w:rPr>
      <w:rFonts w:ascii="Calibri" w:eastAsia="Calibri" w:hAnsi="Calibri"/>
      <w:sz w:val="22"/>
      <w:szCs w:val="22"/>
      <w:lang w:val="es-ES" w:eastAsia="ar-SA"/>
    </w:rPr>
  </w:style>
</w:styles>
</file>

<file path=word/webSettings.xml><?xml version="1.0" encoding="utf-8"?>
<w:webSettings xmlns:r="http://schemas.openxmlformats.org/officeDocument/2006/relationships" xmlns:w="http://schemas.openxmlformats.org/wordprocessingml/2006/main">
  <w:divs>
    <w:div w:id="171530073">
      <w:bodyDiv w:val="1"/>
      <w:marLeft w:val="0"/>
      <w:marRight w:val="0"/>
      <w:marTop w:val="0"/>
      <w:marBottom w:val="0"/>
      <w:divBdr>
        <w:top w:val="none" w:sz="0" w:space="0" w:color="auto"/>
        <w:left w:val="none" w:sz="0" w:space="0" w:color="auto"/>
        <w:bottom w:val="none" w:sz="0" w:space="0" w:color="auto"/>
        <w:right w:val="none" w:sz="0" w:space="0" w:color="auto"/>
      </w:divBdr>
    </w:div>
    <w:div w:id="369957484">
      <w:bodyDiv w:val="1"/>
      <w:marLeft w:val="0"/>
      <w:marRight w:val="0"/>
      <w:marTop w:val="0"/>
      <w:marBottom w:val="0"/>
      <w:divBdr>
        <w:top w:val="none" w:sz="0" w:space="0" w:color="auto"/>
        <w:left w:val="none" w:sz="0" w:space="0" w:color="auto"/>
        <w:bottom w:val="none" w:sz="0" w:space="0" w:color="auto"/>
        <w:right w:val="none" w:sz="0" w:space="0" w:color="auto"/>
      </w:divBdr>
      <w:divsChild>
        <w:div w:id="520514765">
          <w:marLeft w:val="0"/>
          <w:marRight w:val="0"/>
          <w:marTop w:val="180"/>
          <w:marBottom w:val="100"/>
          <w:divBdr>
            <w:top w:val="none" w:sz="0" w:space="0" w:color="auto"/>
            <w:left w:val="none" w:sz="0" w:space="0" w:color="auto"/>
            <w:bottom w:val="none" w:sz="0" w:space="0" w:color="auto"/>
            <w:right w:val="none" w:sz="0" w:space="0" w:color="auto"/>
          </w:divBdr>
          <w:divsChild>
            <w:div w:id="1095782143">
              <w:marLeft w:val="0"/>
              <w:marRight w:val="0"/>
              <w:marTop w:val="0"/>
              <w:marBottom w:val="0"/>
              <w:divBdr>
                <w:top w:val="none" w:sz="0" w:space="0" w:color="auto"/>
                <w:left w:val="none" w:sz="0" w:space="0" w:color="auto"/>
                <w:bottom w:val="none" w:sz="0" w:space="0" w:color="auto"/>
                <w:right w:val="none" w:sz="0" w:space="0" w:color="auto"/>
              </w:divBdr>
              <w:divsChild>
                <w:div w:id="1348091957">
                  <w:marLeft w:val="0"/>
                  <w:marRight w:val="0"/>
                  <w:marTop w:val="0"/>
                  <w:marBottom w:val="0"/>
                  <w:divBdr>
                    <w:top w:val="none" w:sz="0" w:space="0" w:color="auto"/>
                    <w:left w:val="none" w:sz="0" w:space="0" w:color="auto"/>
                    <w:bottom w:val="none" w:sz="0" w:space="0" w:color="auto"/>
                    <w:right w:val="none" w:sz="0" w:space="0" w:color="auto"/>
                  </w:divBdr>
                  <w:divsChild>
                    <w:div w:id="5817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234851">
      <w:bodyDiv w:val="1"/>
      <w:marLeft w:val="0"/>
      <w:marRight w:val="0"/>
      <w:marTop w:val="0"/>
      <w:marBottom w:val="0"/>
      <w:divBdr>
        <w:top w:val="none" w:sz="0" w:space="0" w:color="auto"/>
        <w:left w:val="none" w:sz="0" w:space="0" w:color="auto"/>
        <w:bottom w:val="none" w:sz="0" w:space="0" w:color="auto"/>
        <w:right w:val="none" w:sz="0" w:space="0" w:color="auto"/>
      </w:divBdr>
    </w:div>
    <w:div w:id="1006245917">
      <w:bodyDiv w:val="1"/>
      <w:marLeft w:val="0"/>
      <w:marRight w:val="0"/>
      <w:marTop w:val="0"/>
      <w:marBottom w:val="0"/>
      <w:divBdr>
        <w:top w:val="none" w:sz="0" w:space="0" w:color="auto"/>
        <w:left w:val="none" w:sz="0" w:space="0" w:color="auto"/>
        <w:bottom w:val="none" w:sz="0" w:space="0" w:color="auto"/>
        <w:right w:val="none" w:sz="0" w:space="0" w:color="auto"/>
      </w:divBdr>
      <w:divsChild>
        <w:div w:id="984239561">
          <w:marLeft w:val="0"/>
          <w:marRight w:val="0"/>
          <w:marTop w:val="0"/>
          <w:marBottom w:val="0"/>
          <w:divBdr>
            <w:top w:val="none" w:sz="0" w:space="0" w:color="auto"/>
            <w:left w:val="none" w:sz="0" w:space="0" w:color="auto"/>
            <w:bottom w:val="none" w:sz="0" w:space="0" w:color="auto"/>
            <w:right w:val="none" w:sz="0" w:space="0" w:color="auto"/>
          </w:divBdr>
          <w:divsChild>
            <w:div w:id="936713333">
              <w:marLeft w:val="0"/>
              <w:marRight w:val="0"/>
              <w:marTop w:val="0"/>
              <w:marBottom w:val="0"/>
              <w:divBdr>
                <w:top w:val="none" w:sz="0" w:space="0" w:color="auto"/>
                <w:left w:val="none" w:sz="0" w:space="0" w:color="auto"/>
                <w:bottom w:val="none" w:sz="0" w:space="0" w:color="auto"/>
                <w:right w:val="none" w:sz="0" w:space="0" w:color="auto"/>
              </w:divBdr>
              <w:divsChild>
                <w:div w:id="482822144">
                  <w:marLeft w:val="0"/>
                  <w:marRight w:val="0"/>
                  <w:marTop w:val="0"/>
                  <w:marBottom w:val="0"/>
                  <w:divBdr>
                    <w:top w:val="none" w:sz="0" w:space="0" w:color="auto"/>
                    <w:left w:val="none" w:sz="0" w:space="0" w:color="auto"/>
                    <w:bottom w:val="none" w:sz="0" w:space="0" w:color="auto"/>
                    <w:right w:val="none" w:sz="0" w:space="0" w:color="auto"/>
                  </w:divBdr>
                  <w:divsChild>
                    <w:div w:id="33895378">
                      <w:marLeft w:val="0"/>
                      <w:marRight w:val="0"/>
                      <w:marTop w:val="0"/>
                      <w:marBottom w:val="0"/>
                      <w:divBdr>
                        <w:top w:val="none" w:sz="0" w:space="0" w:color="auto"/>
                        <w:left w:val="none" w:sz="0" w:space="0" w:color="auto"/>
                        <w:bottom w:val="none" w:sz="0" w:space="0" w:color="auto"/>
                        <w:right w:val="none" w:sz="0" w:space="0" w:color="auto"/>
                      </w:divBdr>
                      <w:divsChild>
                        <w:div w:id="518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345454">
      <w:bodyDiv w:val="1"/>
      <w:marLeft w:val="0"/>
      <w:marRight w:val="0"/>
      <w:marTop w:val="0"/>
      <w:marBottom w:val="0"/>
      <w:divBdr>
        <w:top w:val="none" w:sz="0" w:space="0" w:color="auto"/>
        <w:left w:val="none" w:sz="0" w:space="0" w:color="auto"/>
        <w:bottom w:val="none" w:sz="0" w:space="0" w:color="auto"/>
        <w:right w:val="none" w:sz="0" w:space="0" w:color="auto"/>
      </w:divBdr>
    </w:div>
    <w:div w:id="1538198846">
      <w:bodyDiv w:val="1"/>
      <w:marLeft w:val="0"/>
      <w:marRight w:val="0"/>
      <w:marTop w:val="0"/>
      <w:marBottom w:val="0"/>
      <w:divBdr>
        <w:top w:val="none" w:sz="0" w:space="0" w:color="auto"/>
        <w:left w:val="none" w:sz="0" w:space="0" w:color="auto"/>
        <w:bottom w:val="none" w:sz="0" w:space="0" w:color="auto"/>
        <w:right w:val="none" w:sz="0" w:space="0" w:color="auto"/>
      </w:divBdr>
    </w:div>
    <w:div w:id="1753625508">
      <w:bodyDiv w:val="1"/>
      <w:marLeft w:val="0"/>
      <w:marRight w:val="0"/>
      <w:marTop w:val="0"/>
      <w:marBottom w:val="0"/>
      <w:divBdr>
        <w:top w:val="none" w:sz="0" w:space="0" w:color="auto"/>
        <w:left w:val="none" w:sz="0" w:space="0" w:color="auto"/>
        <w:bottom w:val="none" w:sz="0" w:space="0" w:color="auto"/>
        <w:right w:val="none" w:sz="0" w:space="0" w:color="auto"/>
      </w:divBdr>
      <w:divsChild>
        <w:div w:id="2012368791">
          <w:marLeft w:val="0"/>
          <w:marRight w:val="0"/>
          <w:marTop w:val="180"/>
          <w:marBottom w:val="100"/>
          <w:divBdr>
            <w:top w:val="none" w:sz="0" w:space="0" w:color="auto"/>
            <w:left w:val="none" w:sz="0" w:space="0" w:color="auto"/>
            <w:bottom w:val="none" w:sz="0" w:space="0" w:color="auto"/>
            <w:right w:val="none" w:sz="0" w:space="0" w:color="auto"/>
          </w:divBdr>
          <w:divsChild>
            <w:div w:id="1728143827">
              <w:marLeft w:val="0"/>
              <w:marRight w:val="0"/>
              <w:marTop w:val="0"/>
              <w:marBottom w:val="0"/>
              <w:divBdr>
                <w:top w:val="none" w:sz="0" w:space="0" w:color="auto"/>
                <w:left w:val="none" w:sz="0" w:space="0" w:color="auto"/>
                <w:bottom w:val="none" w:sz="0" w:space="0" w:color="auto"/>
                <w:right w:val="none" w:sz="0" w:space="0" w:color="auto"/>
              </w:divBdr>
              <w:divsChild>
                <w:div w:id="2061591845">
                  <w:marLeft w:val="0"/>
                  <w:marRight w:val="0"/>
                  <w:marTop w:val="0"/>
                  <w:marBottom w:val="0"/>
                  <w:divBdr>
                    <w:top w:val="none" w:sz="0" w:space="0" w:color="auto"/>
                    <w:left w:val="none" w:sz="0" w:space="0" w:color="auto"/>
                    <w:bottom w:val="none" w:sz="0" w:space="0" w:color="auto"/>
                    <w:right w:val="none" w:sz="0" w:space="0" w:color="auto"/>
                  </w:divBdr>
                  <w:divsChild>
                    <w:div w:id="630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3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3636</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INDRA</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indra</cp:lastModifiedBy>
  <cp:revision>2</cp:revision>
  <cp:lastPrinted>2012-11-22T11:49:00Z</cp:lastPrinted>
  <dcterms:created xsi:type="dcterms:W3CDTF">2012-12-13T11:44:00Z</dcterms:created>
  <dcterms:modified xsi:type="dcterms:W3CDTF">2012-12-13T11:44:00Z</dcterms:modified>
</cp:coreProperties>
</file>