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968D3" w:rsidRDefault="0006041E">
      <w:r w:rsidRPr="0006041E">
        <w:pict>
          <v:shapetype id="_x0000_t202" coordsize="21600,21600" o:spt="202" path="m,l,21600r21600,l21600,xe">
            <v:stroke joinstyle="miter"/>
            <v:path gradientshapeok="t" o:connecttype="rect"/>
          </v:shapetype>
          <v:shape id="_x0000_s2050" type="#_x0000_t202" style="position:absolute;margin-left:-3.5pt;margin-top:99.4pt;width:464.15pt;height:55.9pt;z-index:251657728;mso-wrap-distance-left:0;mso-wrap-distance-right:7.05pt;mso-position-horizontal-relative:margin;mso-position-vertical-relative:page" stroked="f">
            <v:fill opacity="0" color2="black"/>
            <v:textbox inset="0,0,0,0">
              <w:txbxContent>
                <w:tbl>
                  <w:tblPr>
                    <w:tblW w:w="0" w:type="auto"/>
                    <w:tblInd w:w="70" w:type="dxa"/>
                    <w:tblLayout w:type="fixed"/>
                    <w:tblCellMar>
                      <w:left w:w="70" w:type="dxa"/>
                      <w:right w:w="70" w:type="dxa"/>
                    </w:tblCellMar>
                    <w:tblLook w:val="0000"/>
                  </w:tblPr>
                  <w:tblGrid>
                    <w:gridCol w:w="4039"/>
                    <w:gridCol w:w="5245"/>
                  </w:tblGrid>
                  <w:tr w:rsidR="003968D3">
                    <w:trPr>
                      <w:trHeight w:val="844"/>
                    </w:trPr>
                    <w:tc>
                      <w:tcPr>
                        <w:tcW w:w="4039" w:type="dxa"/>
                        <w:shd w:val="clear" w:color="auto" w:fill="auto"/>
                      </w:tcPr>
                      <w:p w:rsidR="003968D3" w:rsidRDefault="004F6CA5">
                        <w:pPr>
                          <w:snapToGrid w:val="0"/>
                          <w:rPr>
                            <w:rFonts w:ascii="Arial" w:hAnsi="Arial"/>
                            <w:b/>
                            <w:color w:val="000000"/>
                            <w:sz w:val="32"/>
                          </w:rPr>
                        </w:pPr>
                        <w:r>
                          <w:rPr>
                            <w:rFonts w:ascii="Arial" w:hAnsi="Arial"/>
                            <w:noProof/>
                            <w:lang w:val="es-ES" w:eastAsia="es-ES"/>
                          </w:rPr>
                          <w:drawing>
                            <wp:inline distT="0" distB="0" distL="0" distR="0">
                              <wp:extent cx="1466850" cy="714375"/>
                              <wp:effectExtent l="19050" t="0" r="0" b="0"/>
                              <wp:docPr id="3"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4"/>
                                      <pic:cNvPicPr>
                                        <a:picLocks noChangeAspect="1" noChangeArrowheads="1"/>
                                      </pic:cNvPicPr>
                                    </pic:nvPicPr>
                                    <pic:blipFill>
                                      <a:blip r:embed="rId7"/>
                                      <a:srcRect l="22939" t="31085" r="21606" b="30334"/>
                                      <a:stretch>
                                        <a:fillRect/>
                                      </a:stretch>
                                    </pic:blipFill>
                                    <pic:spPr bwMode="auto">
                                      <a:xfrm>
                                        <a:off x="0" y="0"/>
                                        <a:ext cx="1466850" cy="714375"/>
                                      </a:xfrm>
                                      <a:prstGeom prst="rect">
                                        <a:avLst/>
                                      </a:prstGeom>
                                      <a:noFill/>
                                      <a:ln w="9525">
                                        <a:noFill/>
                                        <a:miter lim="800000"/>
                                        <a:headEnd/>
                                        <a:tailEnd/>
                                      </a:ln>
                                    </pic:spPr>
                                  </pic:pic>
                                </a:graphicData>
                              </a:graphic>
                            </wp:inline>
                          </w:drawing>
                        </w:r>
                      </w:p>
                    </w:tc>
                    <w:tc>
                      <w:tcPr>
                        <w:tcW w:w="5245" w:type="dxa"/>
                        <w:shd w:val="clear" w:color="auto" w:fill="auto"/>
                        <w:vAlign w:val="center"/>
                      </w:tcPr>
                      <w:p w:rsidR="004F6CA5" w:rsidRDefault="004F6CA5" w:rsidP="004F6CA5">
                        <w:pPr>
                          <w:jc w:val="center"/>
                          <w:rPr>
                            <w:rFonts w:ascii="Arial" w:hAnsi="Arial"/>
                            <w:b/>
                            <w:color w:val="000000"/>
                            <w:sz w:val="32"/>
                          </w:rPr>
                        </w:pPr>
                        <w:r>
                          <w:rPr>
                            <w:rFonts w:ascii="Arial" w:hAnsi="Arial"/>
                            <w:b/>
                            <w:color w:val="000000"/>
                            <w:sz w:val="32"/>
                          </w:rPr>
                          <w:t xml:space="preserve">Comunicado </w:t>
                        </w:r>
                      </w:p>
                      <w:p w:rsidR="003968D3" w:rsidRDefault="004F6CA5" w:rsidP="004F6CA5">
                        <w:pPr>
                          <w:jc w:val="center"/>
                          <w:rPr>
                            <w:rFonts w:ascii="Arial" w:hAnsi="Arial"/>
                            <w:b/>
                            <w:color w:val="000000"/>
                            <w:sz w:val="32"/>
                          </w:rPr>
                        </w:pPr>
                        <w:r>
                          <w:rPr>
                            <w:rFonts w:ascii="Arial" w:hAnsi="Arial"/>
                            <w:b/>
                            <w:color w:val="000000"/>
                            <w:sz w:val="32"/>
                          </w:rPr>
                          <w:t>de prensa</w:t>
                        </w:r>
                      </w:p>
                    </w:tc>
                  </w:tr>
                </w:tbl>
                <w:p w:rsidR="003968D3" w:rsidRDefault="003968D3">
                  <w:r>
                    <w:t xml:space="preserve"> </w:t>
                  </w:r>
                </w:p>
              </w:txbxContent>
            </v:textbox>
            <w10:wrap type="square" side="largest" anchorx="margin" anchory="page"/>
          </v:shape>
        </w:pict>
      </w:r>
    </w:p>
    <w:p w:rsidR="003968D3" w:rsidRDefault="003968D3"/>
    <w:p w:rsidR="006D0AD6" w:rsidRDefault="006D0AD6" w:rsidP="006D0AD6">
      <w:pPr>
        <w:jc w:val="center"/>
        <w:rPr>
          <w:rFonts w:ascii="Arial" w:hAnsi="Arial" w:cs="Arial"/>
          <w:b/>
          <w:sz w:val="32"/>
          <w:szCs w:val="32"/>
        </w:rPr>
      </w:pPr>
      <w:r w:rsidRPr="007D0E9C">
        <w:rPr>
          <w:rFonts w:ascii="Arial" w:hAnsi="Arial" w:cs="Arial"/>
          <w:b/>
          <w:sz w:val="32"/>
          <w:szCs w:val="32"/>
        </w:rPr>
        <w:t xml:space="preserve">INDRA REALIZARÁ EL </w:t>
      </w:r>
      <w:r>
        <w:rPr>
          <w:rFonts w:ascii="Arial" w:hAnsi="Arial" w:cs="Arial"/>
          <w:b/>
          <w:sz w:val="32"/>
          <w:szCs w:val="32"/>
        </w:rPr>
        <w:t>DESPLIEGUE TECNOLÓGICO</w:t>
      </w:r>
    </w:p>
    <w:p w:rsidR="006D0AD6" w:rsidRPr="007D0E9C" w:rsidRDefault="006D0AD6" w:rsidP="006D0AD6">
      <w:pPr>
        <w:jc w:val="center"/>
        <w:rPr>
          <w:rFonts w:ascii="Arial" w:hAnsi="Arial" w:cs="Arial"/>
          <w:b/>
          <w:sz w:val="32"/>
          <w:szCs w:val="32"/>
        </w:rPr>
      </w:pPr>
      <w:r>
        <w:rPr>
          <w:rFonts w:ascii="Arial" w:hAnsi="Arial" w:cs="Arial"/>
          <w:b/>
          <w:sz w:val="32"/>
          <w:szCs w:val="32"/>
        </w:rPr>
        <w:t xml:space="preserve">  </w:t>
      </w:r>
      <w:r w:rsidRPr="007D0E9C">
        <w:rPr>
          <w:rFonts w:ascii="Arial" w:hAnsi="Arial" w:cs="Arial"/>
          <w:b/>
          <w:sz w:val="32"/>
          <w:szCs w:val="32"/>
        </w:rPr>
        <w:t xml:space="preserve">DE LAS ELECCIONES </w:t>
      </w:r>
      <w:r w:rsidR="00896635">
        <w:rPr>
          <w:rFonts w:ascii="Arial" w:hAnsi="Arial" w:cs="Arial"/>
          <w:b/>
          <w:sz w:val="32"/>
          <w:szCs w:val="32"/>
        </w:rPr>
        <w:t>GALLEGAS DEL 21-O</w:t>
      </w:r>
    </w:p>
    <w:p w:rsidR="002F2412" w:rsidRPr="002F2412" w:rsidRDefault="002F2412" w:rsidP="002F2412">
      <w:pPr>
        <w:pStyle w:val="Prrafodelista"/>
        <w:ind w:right="-143"/>
        <w:jc w:val="center"/>
        <w:rPr>
          <w:rFonts w:ascii="Arial" w:hAnsi="Arial" w:cs="Arial"/>
          <w:b/>
          <w:sz w:val="28"/>
          <w:szCs w:val="28"/>
          <w:lang w:val="es-ES_tradnl"/>
        </w:rPr>
      </w:pPr>
    </w:p>
    <w:p w:rsidR="006D0AD6" w:rsidRPr="00E44BDA" w:rsidRDefault="006D0AD6" w:rsidP="006D0AD6">
      <w:pPr>
        <w:ind w:right="-143"/>
        <w:jc w:val="center"/>
        <w:rPr>
          <w:rFonts w:ascii="Arial" w:hAnsi="Arial" w:cs="Arial"/>
          <w:b/>
          <w:sz w:val="28"/>
          <w:szCs w:val="28"/>
        </w:rPr>
      </w:pPr>
      <w:r w:rsidRPr="00AB7E5C">
        <w:rPr>
          <w:rFonts w:ascii="Arial" w:hAnsi="Arial" w:cs="Arial"/>
          <w:b/>
          <w:sz w:val="28"/>
          <w:szCs w:val="28"/>
        </w:rPr>
        <w:t xml:space="preserve"> </w:t>
      </w:r>
    </w:p>
    <w:p w:rsidR="006D0AD6" w:rsidRPr="00F76388" w:rsidRDefault="00992ABC" w:rsidP="006D0AD6">
      <w:pPr>
        <w:numPr>
          <w:ilvl w:val="0"/>
          <w:numId w:val="3"/>
        </w:numPr>
        <w:suppressAutoHyphens w:val="0"/>
        <w:spacing w:after="200" w:line="276" w:lineRule="auto"/>
        <w:ind w:right="-143"/>
        <w:jc w:val="both"/>
        <w:rPr>
          <w:rFonts w:ascii="Arial" w:hAnsi="Arial" w:cs="Arial"/>
          <w:b/>
          <w:szCs w:val="24"/>
        </w:rPr>
      </w:pPr>
      <w:r w:rsidRPr="00F76388">
        <w:rPr>
          <w:rFonts w:ascii="Arial" w:hAnsi="Arial" w:cs="Arial"/>
          <w:b/>
          <w:szCs w:val="24"/>
        </w:rPr>
        <w:t xml:space="preserve">La tecnología PDA dispuesta por </w:t>
      </w:r>
      <w:r w:rsidR="00B863E8">
        <w:rPr>
          <w:rFonts w:ascii="Arial" w:hAnsi="Arial" w:cs="Arial"/>
          <w:b/>
          <w:szCs w:val="24"/>
        </w:rPr>
        <w:t xml:space="preserve">la compañía </w:t>
      </w:r>
      <w:r w:rsidRPr="00F76388">
        <w:rPr>
          <w:rFonts w:ascii="Arial" w:hAnsi="Arial" w:cs="Arial"/>
          <w:b/>
          <w:szCs w:val="24"/>
        </w:rPr>
        <w:t>cubrirá</w:t>
      </w:r>
      <w:r w:rsidR="00257E11" w:rsidRPr="00F76388">
        <w:rPr>
          <w:rFonts w:ascii="Arial" w:hAnsi="Arial" w:cs="Arial"/>
          <w:b/>
          <w:szCs w:val="24"/>
        </w:rPr>
        <w:t xml:space="preserve"> el 75% del electorado y facilita</w:t>
      </w:r>
      <w:r w:rsidRPr="00F76388">
        <w:rPr>
          <w:rFonts w:ascii="Arial" w:hAnsi="Arial" w:cs="Arial"/>
          <w:b/>
          <w:szCs w:val="24"/>
        </w:rPr>
        <w:t>rá</w:t>
      </w:r>
      <w:r w:rsidR="006D0AD6" w:rsidRPr="00F76388">
        <w:rPr>
          <w:rFonts w:ascii="Arial" w:hAnsi="Arial" w:cs="Arial"/>
          <w:b/>
          <w:szCs w:val="24"/>
        </w:rPr>
        <w:t xml:space="preserve"> la transmisión electrónica de datos desde los </w:t>
      </w:r>
      <w:r w:rsidR="00257E11" w:rsidRPr="00F76388">
        <w:rPr>
          <w:rFonts w:ascii="Arial" w:hAnsi="Arial" w:cs="Arial"/>
          <w:b/>
          <w:szCs w:val="24"/>
        </w:rPr>
        <w:t>colegios</w:t>
      </w:r>
      <w:r w:rsidR="006D0AD6" w:rsidRPr="00F76388">
        <w:rPr>
          <w:rFonts w:ascii="Arial" w:hAnsi="Arial" w:cs="Arial"/>
          <w:b/>
          <w:szCs w:val="24"/>
        </w:rPr>
        <w:t xml:space="preserve">  electorales </w:t>
      </w:r>
    </w:p>
    <w:p w:rsidR="002F2412" w:rsidRDefault="002F2412" w:rsidP="002F2412">
      <w:pPr>
        <w:suppressAutoHyphens w:val="0"/>
        <w:spacing w:after="200" w:line="276" w:lineRule="auto"/>
        <w:ind w:left="720" w:right="-143"/>
        <w:jc w:val="both"/>
        <w:rPr>
          <w:rFonts w:ascii="Arial" w:hAnsi="Arial" w:cs="Arial"/>
          <w:b/>
          <w:szCs w:val="24"/>
          <w:highlight w:val="yellow"/>
        </w:rPr>
      </w:pPr>
    </w:p>
    <w:p w:rsidR="00DE0110" w:rsidRDefault="00896635" w:rsidP="00DE0110">
      <w:pPr>
        <w:spacing w:after="200" w:line="276" w:lineRule="auto"/>
        <w:ind w:right="-143"/>
        <w:jc w:val="both"/>
        <w:rPr>
          <w:rFonts w:ascii="Arial" w:hAnsi="Arial" w:cs="Arial"/>
          <w:sz w:val="22"/>
          <w:szCs w:val="22"/>
        </w:rPr>
      </w:pPr>
      <w:r>
        <w:rPr>
          <w:rFonts w:ascii="Arial" w:hAnsi="Arial" w:cs="Arial"/>
          <w:sz w:val="22"/>
          <w:szCs w:val="22"/>
        </w:rPr>
        <w:t xml:space="preserve">La Xunta de Galicia ha </w:t>
      </w:r>
      <w:r w:rsidR="003968D3">
        <w:rPr>
          <w:rFonts w:ascii="Arial" w:hAnsi="Arial" w:cs="Arial"/>
          <w:sz w:val="22"/>
          <w:szCs w:val="22"/>
        </w:rPr>
        <w:t xml:space="preserve">vuelto a confiar a Indra, la multinacional de </w:t>
      </w:r>
      <w:r w:rsidR="00F76388">
        <w:rPr>
          <w:rFonts w:ascii="Arial" w:hAnsi="Arial" w:cs="Arial"/>
          <w:sz w:val="22"/>
          <w:szCs w:val="22"/>
        </w:rPr>
        <w:t xml:space="preserve">Tecnologías de la Información </w:t>
      </w:r>
      <w:r w:rsidR="00E03B9F">
        <w:rPr>
          <w:rFonts w:ascii="Arial" w:hAnsi="Arial" w:cs="Arial"/>
          <w:sz w:val="22"/>
          <w:szCs w:val="22"/>
        </w:rPr>
        <w:t xml:space="preserve">líder </w:t>
      </w:r>
      <w:r w:rsidR="003968D3">
        <w:rPr>
          <w:rFonts w:ascii="Arial" w:hAnsi="Arial" w:cs="Arial"/>
          <w:sz w:val="22"/>
          <w:szCs w:val="22"/>
        </w:rPr>
        <w:t>en España y una de las principales de Europa y Latinoamérica, el despliegue tecnológico para el escrutinio de las elecciones autonómicas</w:t>
      </w:r>
      <w:r w:rsidR="004A6CCB">
        <w:rPr>
          <w:rFonts w:ascii="Arial" w:hAnsi="Arial" w:cs="Arial"/>
          <w:sz w:val="22"/>
          <w:szCs w:val="22"/>
        </w:rPr>
        <w:t xml:space="preserve"> que tendrán lugar el próximo 21 de octubre.</w:t>
      </w:r>
      <w:r w:rsidR="003968D3">
        <w:rPr>
          <w:rFonts w:ascii="Arial" w:hAnsi="Arial" w:cs="Arial"/>
          <w:sz w:val="22"/>
          <w:szCs w:val="22"/>
        </w:rPr>
        <w:t xml:space="preserve"> En estos comicios están llamados a votar </w:t>
      </w:r>
      <w:r w:rsidR="00D85A9A">
        <w:rPr>
          <w:rFonts w:ascii="Arial" w:hAnsi="Arial" w:cs="Arial"/>
          <w:sz w:val="22"/>
          <w:szCs w:val="22"/>
        </w:rPr>
        <w:t>cerca de</w:t>
      </w:r>
      <w:r w:rsidR="000D7F5C">
        <w:rPr>
          <w:rFonts w:ascii="Arial" w:hAnsi="Arial" w:cs="Arial"/>
          <w:sz w:val="22"/>
          <w:szCs w:val="22"/>
        </w:rPr>
        <w:t xml:space="preserve"> 2.300.000 gallegos, en </w:t>
      </w:r>
      <w:r w:rsidR="004A6CCB">
        <w:rPr>
          <w:rFonts w:ascii="Arial" w:hAnsi="Arial" w:cs="Arial"/>
          <w:sz w:val="22"/>
          <w:szCs w:val="22"/>
        </w:rPr>
        <w:t xml:space="preserve">unas 4.000 mesas distribuidas  </w:t>
      </w:r>
      <w:r w:rsidR="000D7F5C">
        <w:rPr>
          <w:rFonts w:ascii="Arial" w:hAnsi="Arial" w:cs="Arial"/>
          <w:sz w:val="22"/>
          <w:szCs w:val="22"/>
        </w:rPr>
        <w:t>en</w:t>
      </w:r>
      <w:r w:rsidR="00F76388">
        <w:rPr>
          <w:rFonts w:ascii="Arial" w:hAnsi="Arial" w:cs="Arial"/>
          <w:sz w:val="22"/>
          <w:szCs w:val="22"/>
        </w:rPr>
        <w:t xml:space="preserve">tre </w:t>
      </w:r>
      <w:r w:rsidR="000D7F5C">
        <w:rPr>
          <w:rFonts w:ascii="Arial" w:hAnsi="Arial" w:cs="Arial"/>
          <w:sz w:val="22"/>
          <w:szCs w:val="22"/>
        </w:rPr>
        <w:t xml:space="preserve"> más de 2.500 colegios electorales. </w:t>
      </w:r>
      <w:r w:rsidR="00DE0110">
        <w:rPr>
          <w:rFonts w:ascii="Arial" w:hAnsi="Arial" w:cs="Arial"/>
          <w:sz w:val="22"/>
          <w:szCs w:val="22"/>
        </w:rPr>
        <w:t xml:space="preserve">Indra ya prestó soporte tecnológico a las elecciones gallegas de 2009. </w:t>
      </w:r>
    </w:p>
    <w:p w:rsidR="004F6CA5" w:rsidRDefault="00896635">
      <w:pPr>
        <w:spacing w:after="200" w:line="276" w:lineRule="auto"/>
        <w:ind w:right="-143"/>
        <w:jc w:val="both"/>
        <w:rPr>
          <w:rFonts w:ascii="Arial" w:hAnsi="Arial" w:cs="Arial"/>
          <w:sz w:val="22"/>
          <w:szCs w:val="22"/>
        </w:rPr>
      </w:pPr>
      <w:r>
        <w:rPr>
          <w:rFonts w:ascii="Arial" w:hAnsi="Arial" w:cs="Arial"/>
          <w:sz w:val="22"/>
          <w:szCs w:val="22"/>
        </w:rPr>
        <w:t>El proyecto contempla el recuento electoral</w:t>
      </w:r>
      <w:r w:rsidR="004A6CCB">
        <w:rPr>
          <w:rFonts w:ascii="Arial" w:hAnsi="Arial" w:cs="Arial"/>
          <w:sz w:val="22"/>
          <w:szCs w:val="22"/>
        </w:rPr>
        <w:t xml:space="preserve"> </w:t>
      </w:r>
      <w:r>
        <w:rPr>
          <w:rFonts w:ascii="Arial" w:hAnsi="Arial" w:cs="Arial"/>
          <w:sz w:val="22"/>
          <w:szCs w:val="22"/>
        </w:rPr>
        <w:t xml:space="preserve">así como el suministro de servicios de apoyo en materia electoral, tanto para el escrutinio </w:t>
      </w:r>
      <w:r w:rsidR="004A6CCB">
        <w:rPr>
          <w:rFonts w:ascii="Arial" w:hAnsi="Arial" w:cs="Arial"/>
          <w:sz w:val="22"/>
          <w:szCs w:val="22"/>
        </w:rPr>
        <w:t xml:space="preserve">provisional </w:t>
      </w:r>
      <w:r w:rsidR="000D7F5C">
        <w:rPr>
          <w:rFonts w:ascii="Arial" w:hAnsi="Arial" w:cs="Arial"/>
          <w:sz w:val="22"/>
          <w:szCs w:val="22"/>
        </w:rPr>
        <w:t>como el definitivo.</w:t>
      </w:r>
      <w:r w:rsidR="004A6CCB">
        <w:rPr>
          <w:rFonts w:ascii="Arial" w:hAnsi="Arial" w:cs="Arial"/>
          <w:sz w:val="22"/>
          <w:szCs w:val="22"/>
        </w:rPr>
        <w:t xml:space="preserve"> </w:t>
      </w:r>
      <w:r w:rsidR="002F2412">
        <w:rPr>
          <w:rFonts w:ascii="Arial" w:hAnsi="Arial" w:cs="Arial"/>
          <w:sz w:val="22"/>
          <w:szCs w:val="22"/>
        </w:rPr>
        <w:t xml:space="preserve">Cerca de </w:t>
      </w:r>
      <w:r w:rsidR="00257E11">
        <w:rPr>
          <w:rFonts w:ascii="Arial" w:hAnsi="Arial" w:cs="Arial"/>
          <w:sz w:val="22"/>
          <w:szCs w:val="22"/>
        </w:rPr>
        <w:t>260</w:t>
      </w:r>
      <w:r w:rsidR="004A6CCB">
        <w:rPr>
          <w:rFonts w:ascii="Arial" w:hAnsi="Arial" w:cs="Arial"/>
          <w:sz w:val="22"/>
          <w:szCs w:val="22"/>
        </w:rPr>
        <w:t xml:space="preserve">  profesionales de Indra prestarán soporte tecnológico y logístico al proceso electoral  gallego</w:t>
      </w:r>
      <w:r w:rsidR="00DE0110">
        <w:rPr>
          <w:rFonts w:ascii="Arial" w:hAnsi="Arial" w:cs="Arial"/>
          <w:sz w:val="22"/>
          <w:szCs w:val="22"/>
        </w:rPr>
        <w:t>. El equipo estará integrado por expertos procedentes de otras áreas geográficas de la compañía y técnicos pertenecientes al</w:t>
      </w:r>
      <w:r w:rsidR="004F6CA5">
        <w:rPr>
          <w:rFonts w:ascii="Arial" w:hAnsi="Arial" w:cs="Arial"/>
          <w:sz w:val="22"/>
          <w:szCs w:val="22"/>
        </w:rPr>
        <w:t xml:space="preserve"> Software</w:t>
      </w:r>
      <w:r w:rsidR="00DE0110">
        <w:rPr>
          <w:rFonts w:ascii="Arial" w:hAnsi="Arial" w:cs="Arial"/>
          <w:sz w:val="22"/>
          <w:szCs w:val="22"/>
        </w:rPr>
        <w:t xml:space="preserve"> Lab que </w:t>
      </w:r>
      <w:r w:rsidR="00F76388">
        <w:rPr>
          <w:rFonts w:ascii="Arial" w:hAnsi="Arial" w:cs="Arial"/>
          <w:sz w:val="22"/>
          <w:szCs w:val="22"/>
        </w:rPr>
        <w:t>Indra tiene en A</w:t>
      </w:r>
      <w:r w:rsidR="004F6CA5">
        <w:rPr>
          <w:rFonts w:ascii="Arial" w:hAnsi="Arial" w:cs="Arial"/>
          <w:sz w:val="22"/>
          <w:szCs w:val="22"/>
        </w:rPr>
        <w:t xml:space="preserve"> Coruña. </w:t>
      </w:r>
    </w:p>
    <w:p w:rsidR="003968D3" w:rsidRDefault="003968D3">
      <w:pPr>
        <w:spacing w:after="200" w:line="276" w:lineRule="auto"/>
        <w:ind w:right="-143"/>
        <w:jc w:val="both"/>
        <w:rPr>
          <w:rFonts w:ascii="Arial" w:hAnsi="Arial" w:cs="Arial"/>
          <w:sz w:val="22"/>
          <w:szCs w:val="22"/>
        </w:rPr>
      </w:pPr>
      <w:r>
        <w:rPr>
          <w:rFonts w:ascii="Arial" w:hAnsi="Arial" w:cs="Arial"/>
          <w:sz w:val="22"/>
          <w:szCs w:val="22"/>
        </w:rPr>
        <w:t>La multinacional tecnológica empleará nuevamente la tecnología PDA para la transmisión de los datos de votación desde los colegios electorales al centro de procesamiento de la información</w:t>
      </w:r>
      <w:r w:rsidR="00F76388">
        <w:rPr>
          <w:rFonts w:ascii="Arial" w:hAnsi="Arial" w:cs="Arial"/>
          <w:sz w:val="22"/>
          <w:szCs w:val="22"/>
        </w:rPr>
        <w:t>. En esta ocasión se desplegará</w:t>
      </w:r>
      <w:r>
        <w:rPr>
          <w:rFonts w:ascii="Arial" w:hAnsi="Arial" w:cs="Arial"/>
          <w:sz w:val="22"/>
          <w:szCs w:val="22"/>
        </w:rPr>
        <w:t xml:space="preserve"> </w:t>
      </w:r>
      <w:r w:rsidR="00257E11">
        <w:rPr>
          <w:rFonts w:ascii="Arial" w:hAnsi="Arial" w:cs="Arial"/>
          <w:sz w:val="22"/>
          <w:szCs w:val="22"/>
        </w:rPr>
        <w:t>un dispositivo PDA</w:t>
      </w:r>
      <w:r>
        <w:rPr>
          <w:rFonts w:ascii="Arial" w:hAnsi="Arial" w:cs="Arial"/>
          <w:sz w:val="22"/>
          <w:szCs w:val="22"/>
        </w:rPr>
        <w:t xml:space="preserve"> por cada </w:t>
      </w:r>
      <w:r w:rsidR="00F76388">
        <w:rPr>
          <w:rFonts w:ascii="Arial" w:hAnsi="Arial" w:cs="Arial"/>
          <w:sz w:val="22"/>
          <w:szCs w:val="22"/>
        </w:rPr>
        <w:t>tres</w:t>
      </w:r>
      <w:r w:rsidR="000C6856">
        <w:rPr>
          <w:rFonts w:ascii="Arial" w:hAnsi="Arial" w:cs="Arial"/>
          <w:sz w:val="22"/>
          <w:szCs w:val="22"/>
        </w:rPr>
        <w:t xml:space="preserve"> </w:t>
      </w:r>
      <w:r w:rsidR="001A700B">
        <w:rPr>
          <w:rFonts w:ascii="Arial" w:hAnsi="Arial" w:cs="Arial"/>
          <w:sz w:val="22"/>
          <w:szCs w:val="22"/>
        </w:rPr>
        <w:t>mesas electorales</w:t>
      </w:r>
      <w:r w:rsidR="00992ABC">
        <w:rPr>
          <w:rFonts w:ascii="Arial" w:hAnsi="Arial" w:cs="Arial"/>
          <w:sz w:val="22"/>
          <w:szCs w:val="22"/>
        </w:rPr>
        <w:t xml:space="preserve">, </w:t>
      </w:r>
      <w:r w:rsidR="002F2412">
        <w:rPr>
          <w:rFonts w:ascii="Arial" w:hAnsi="Arial" w:cs="Arial"/>
          <w:sz w:val="22"/>
          <w:szCs w:val="22"/>
        </w:rPr>
        <w:t>que cubrirán el 75% del electorado.</w:t>
      </w:r>
      <w:r w:rsidR="002734F5">
        <w:rPr>
          <w:rFonts w:ascii="Arial" w:hAnsi="Arial" w:cs="Arial"/>
          <w:sz w:val="22"/>
          <w:szCs w:val="22"/>
        </w:rPr>
        <w:t xml:space="preserve"> </w:t>
      </w:r>
      <w:r>
        <w:rPr>
          <w:rFonts w:ascii="Arial" w:hAnsi="Arial" w:cs="Arial"/>
          <w:sz w:val="22"/>
          <w:szCs w:val="22"/>
        </w:rPr>
        <w:t xml:space="preserve">El uso de estos dispositivos agiliza el proceso de escrutinio, incrementa la calidad de los datos a transmitir al introducir controles adicionales en el mismo punto de votación, elimina tareas repetitivas y automatiza el envío de información. </w:t>
      </w:r>
    </w:p>
    <w:p w:rsidR="00DE0110" w:rsidRDefault="004F6CA5">
      <w:pPr>
        <w:spacing w:after="200" w:line="276" w:lineRule="auto"/>
        <w:ind w:right="-143"/>
        <w:jc w:val="both"/>
        <w:rPr>
          <w:rFonts w:ascii="Arial" w:hAnsi="Arial" w:cs="Arial"/>
          <w:sz w:val="22"/>
          <w:szCs w:val="22"/>
        </w:rPr>
      </w:pPr>
      <w:r>
        <w:rPr>
          <w:rFonts w:ascii="Arial" w:hAnsi="Arial" w:cs="Arial"/>
          <w:sz w:val="22"/>
          <w:szCs w:val="22"/>
        </w:rPr>
        <w:t>Asimismo</w:t>
      </w:r>
      <w:r w:rsidR="00F76388">
        <w:rPr>
          <w:rFonts w:ascii="Arial" w:hAnsi="Arial" w:cs="Arial"/>
          <w:sz w:val="22"/>
          <w:szCs w:val="22"/>
        </w:rPr>
        <w:t>,</w:t>
      </w:r>
      <w:r>
        <w:rPr>
          <w:rFonts w:ascii="Arial" w:hAnsi="Arial" w:cs="Arial"/>
          <w:sz w:val="22"/>
          <w:szCs w:val="22"/>
        </w:rPr>
        <w:t xml:space="preserve"> y con el fin de  </w:t>
      </w:r>
      <w:r w:rsidR="00DE0110" w:rsidRPr="00DE0110">
        <w:rPr>
          <w:rFonts w:ascii="Arial" w:hAnsi="Arial" w:cs="Arial"/>
          <w:sz w:val="22"/>
          <w:szCs w:val="22"/>
        </w:rPr>
        <w:t>incrementar la fiabilidad en el escrutinio</w:t>
      </w:r>
      <w:r w:rsidR="00F76388">
        <w:rPr>
          <w:rFonts w:ascii="Arial" w:hAnsi="Arial" w:cs="Arial"/>
          <w:sz w:val="22"/>
          <w:szCs w:val="22"/>
        </w:rPr>
        <w:t>,</w:t>
      </w:r>
      <w:r w:rsidR="00DE0110" w:rsidRPr="00DE0110">
        <w:rPr>
          <w:rFonts w:ascii="Arial" w:hAnsi="Arial" w:cs="Arial"/>
          <w:sz w:val="22"/>
          <w:szCs w:val="22"/>
        </w:rPr>
        <w:t xml:space="preserve"> se contará con dos centros de recogida de datos (CRD)</w:t>
      </w:r>
      <w:r>
        <w:rPr>
          <w:rFonts w:ascii="Arial" w:hAnsi="Arial" w:cs="Arial"/>
          <w:sz w:val="22"/>
          <w:szCs w:val="22"/>
        </w:rPr>
        <w:t xml:space="preserve"> en Santiago de Compostela</w:t>
      </w:r>
      <w:r w:rsidR="002F2412">
        <w:rPr>
          <w:rFonts w:ascii="Arial" w:hAnsi="Arial" w:cs="Arial"/>
          <w:sz w:val="22"/>
          <w:szCs w:val="22"/>
        </w:rPr>
        <w:t>;</w:t>
      </w:r>
      <w:r>
        <w:rPr>
          <w:rFonts w:ascii="Arial" w:hAnsi="Arial" w:cs="Arial"/>
          <w:sz w:val="22"/>
          <w:szCs w:val="22"/>
        </w:rPr>
        <w:t xml:space="preserve"> </w:t>
      </w:r>
      <w:r w:rsidR="00DE0110" w:rsidRPr="00DE0110">
        <w:rPr>
          <w:rFonts w:ascii="Arial" w:hAnsi="Arial" w:cs="Arial"/>
          <w:sz w:val="22"/>
          <w:szCs w:val="22"/>
        </w:rPr>
        <w:t xml:space="preserve">uno ubicado en </w:t>
      </w:r>
      <w:r>
        <w:rPr>
          <w:rFonts w:ascii="Arial" w:hAnsi="Arial" w:cs="Arial"/>
          <w:sz w:val="22"/>
          <w:szCs w:val="22"/>
        </w:rPr>
        <w:t xml:space="preserve">la Ciudad de La Cultura,  </w:t>
      </w:r>
      <w:r w:rsidR="00DE0110" w:rsidRPr="00DE0110">
        <w:rPr>
          <w:rFonts w:ascii="Arial" w:hAnsi="Arial" w:cs="Arial"/>
          <w:sz w:val="22"/>
          <w:szCs w:val="22"/>
        </w:rPr>
        <w:t xml:space="preserve">donde se recogerán los datos de A Coruña y Lugo, y otro instalado en </w:t>
      </w:r>
      <w:r>
        <w:rPr>
          <w:rFonts w:ascii="Arial" w:hAnsi="Arial" w:cs="Arial"/>
          <w:sz w:val="22"/>
          <w:szCs w:val="22"/>
        </w:rPr>
        <w:t>los edificios administrativos de la Xunta de Galicia</w:t>
      </w:r>
      <w:r w:rsidR="00F76388">
        <w:rPr>
          <w:rFonts w:ascii="Arial" w:hAnsi="Arial" w:cs="Arial"/>
          <w:sz w:val="22"/>
          <w:szCs w:val="22"/>
        </w:rPr>
        <w:t>,</w:t>
      </w:r>
      <w:r>
        <w:rPr>
          <w:rFonts w:ascii="Arial" w:hAnsi="Arial" w:cs="Arial"/>
          <w:sz w:val="22"/>
          <w:szCs w:val="22"/>
        </w:rPr>
        <w:t xml:space="preserve"> en San Caetano, </w:t>
      </w:r>
      <w:r w:rsidR="00DE0110" w:rsidRPr="00DE0110">
        <w:rPr>
          <w:rFonts w:ascii="Arial" w:hAnsi="Arial" w:cs="Arial"/>
          <w:sz w:val="22"/>
          <w:szCs w:val="22"/>
        </w:rPr>
        <w:t xml:space="preserve">donde se recibirán los datos de Ourense y Pontevedra. En caso de fuerza mayor se podría utilizar cualquiera de los CRD para recoger los datos de todas las provincias.  </w:t>
      </w:r>
    </w:p>
    <w:p w:rsidR="003968D3" w:rsidRDefault="003968D3">
      <w:pPr>
        <w:spacing w:after="200" w:line="276" w:lineRule="auto"/>
        <w:ind w:right="-143"/>
        <w:rPr>
          <w:rFonts w:ascii="Arial" w:hAnsi="Arial" w:cs="Arial"/>
          <w:b/>
          <w:bCs/>
          <w:color w:val="000000"/>
          <w:sz w:val="22"/>
          <w:szCs w:val="22"/>
        </w:rPr>
      </w:pPr>
      <w:r>
        <w:rPr>
          <w:rFonts w:ascii="Arial" w:hAnsi="Arial" w:cs="Arial"/>
          <w:b/>
          <w:bCs/>
          <w:color w:val="000000"/>
          <w:sz w:val="22"/>
          <w:szCs w:val="22"/>
        </w:rPr>
        <w:lastRenderedPageBreak/>
        <w:t>Líder en procesos electorales</w:t>
      </w:r>
    </w:p>
    <w:p w:rsidR="003968D3" w:rsidRDefault="003968D3">
      <w:pPr>
        <w:pStyle w:val="Textoindependiente"/>
        <w:rPr>
          <w:color w:val="000000"/>
          <w:sz w:val="22"/>
          <w:szCs w:val="22"/>
        </w:rPr>
      </w:pPr>
      <w:r>
        <w:rPr>
          <w:color w:val="000000"/>
          <w:sz w:val="22"/>
          <w:szCs w:val="22"/>
        </w:rPr>
        <w:t>Indra acumula una experiencia de participar en más de 350 procesos electorales en todo el mundo con más de 3.000 millones de electores atendidos, siendo pionera en el uso de las nuevas tecnologías con soluciones de Voto Electrónico, e-Counting,</w:t>
      </w:r>
      <w:r>
        <w:rPr>
          <w:b/>
          <w:bCs/>
          <w:color w:val="000000"/>
          <w:sz w:val="22"/>
          <w:szCs w:val="22"/>
        </w:rPr>
        <w:t xml:space="preserve"> </w:t>
      </w:r>
      <w:r>
        <w:rPr>
          <w:color w:val="000000"/>
          <w:sz w:val="22"/>
          <w:szCs w:val="22"/>
        </w:rPr>
        <w:t>Voto por Internet,  además de soluciones y servicios para la participación ciudadana, como la plataforma iPARTICIPA, y de soluciones tecnológicas aplicadas a la gestión electoral como el uso de PDAs o la dotación a las mesas electorales de herramientas informáticas que facilitan y simplifican sus tareas  (Mesa Administrada Electrónicamente, MAE).</w:t>
      </w:r>
    </w:p>
    <w:p w:rsidR="003968D3" w:rsidRDefault="003968D3">
      <w:pPr>
        <w:pStyle w:val="Textoindependiente"/>
        <w:rPr>
          <w:color w:val="000000"/>
          <w:sz w:val="22"/>
          <w:szCs w:val="22"/>
        </w:rPr>
      </w:pPr>
    </w:p>
    <w:p w:rsidR="003968D3" w:rsidRDefault="003968D3">
      <w:pPr>
        <w:pStyle w:val="Textoindependiente"/>
        <w:rPr>
          <w:color w:val="000000"/>
          <w:sz w:val="22"/>
          <w:szCs w:val="22"/>
        </w:rPr>
      </w:pPr>
      <w:r>
        <w:rPr>
          <w:color w:val="000000"/>
          <w:sz w:val="22"/>
          <w:szCs w:val="22"/>
        </w:rPr>
        <w:t xml:space="preserve">Durante los últimos años, Indra ha participado en el desarrollo de elecciones en países como Reino Unido, Noruega, Francia, Eslovenia, Portugal, Italia, Estados Unidos, Argentina, Angola, entre otros, ofreciendo todo tipo de servicios y soluciones electorales e implantando innovadores sistemas de voto electrónico. También fue la responsable del escrutinio provisional y difusión </w:t>
      </w:r>
      <w:r w:rsidR="002F2412">
        <w:rPr>
          <w:color w:val="000000"/>
          <w:sz w:val="22"/>
          <w:szCs w:val="22"/>
        </w:rPr>
        <w:t xml:space="preserve">de las elecciones asturianas y andaluzas de marzo de 2012 así como de  las generales y locales de España en 2011, junto con la mayoría de los comicios autonómicos que tuvieron lugar ese mismo año. </w:t>
      </w:r>
    </w:p>
    <w:p w:rsidR="002F2412" w:rsidRDefault="002F2412">
      <w:pPr>
        <w:pStyle w:val="Textoindependiente"/>
        <w:rPr>
          <w:color w:val="000000"/>
          <w:sz w:val="22"/>
          <w:szCs w:val="22"/>
        </w:rPr>
      </w:pPr>
    </w:p>
    <w:p w:rsidR="003968D3" w:rsidRPr="00267180" w:rsidRDefault="00F76388">
      <w:pPr>
        <w:pStyle w:val="Textoindependiente"/>
        <w:rPr>
          <w:sz w:val="22"/>
          <w:szCs w:val="22"/>
        </w:rPr>
      </w:pPr>
      <w:r>
        <w:rPr>
          <w:color w:val="000000"/>
          <w:sz w:val="22"/>
          <w:szCs w:val="22"/>
        </w:rPr>
        <w:t xml:space="preserve">En </w:t>
      </w:r>
      <w:r w:rsidR="002F2412">
        <w:rPr>
          <w:color w:val="000000"/>
          <w:sz w:val="22"/>
          <w:szCs w:val="22"/>
        </w:rPr>
        <w:t>2012</w:t>
      </w:r>
      <w:r w:rsidR="000472F6">
        <w:rPr>
          <w:color w:val="000000"/>
          <w:sz w:val="22"/>
          <w:szCs w:val="22"/>
        </w:rPr>
        <w:t>, Indra ha realizado las elecciones legislativas y municipales en El Salvador</w:t>
      </w:r>
      <w:r w:rsidR="002F2412">
        <w:rPr>
          <w:color w:val="000000"/>
          <w:sz w:val="22"/>
          <w:szCs w:val="22"/>
        </w:rPr>
        <w:t>.</w:t>
      </w:r>
      <w:r w:rsidR="002F2412">
        <w:rPr>
          <w:sz w:val="22"/>
          <w:szCs w:val="22"/>
        </w:rPr>
        <w:t xml:space="preserve"> Asimismo, </w:t>
      </w:r>
      <w:r>
        <w:rPr>
          <w:sz w:val="22"/>
          <w:szCs w:val="22"/>
        </w:rPr>
        <w:t xml:space="preserve">a lo largo de </w:t>
      </w:r>
      <w:r w:rsidR="002F2412">
        <w:rPr>
          <w:sz w:val="22"/>
          <w:szCs w:val="22"/>
        </w:rPr>
        <w:t>2011</w:t>
      </w:r>
      <w:r w:rsidR="003968D3">
        <w:rPr>
          <w:color w:val="000000"/>
          <w:sz w:val="22"/>
          <w:szCs w:val="22"/>
        </w:rPr>
        <w:t xml:space="preserve">, Indra también </w:t>
      </w:r>
      <w:r w:rsidR="000C6856">
        <w:rPr>
          <w:color w:val="000000"/>
          <w:sz w:val="22"/>
          <w:szCs w:val="22"/>
        </w:rPr>
        <w:t>llevó</w:t>
      </w:r>
      <w:r w:rsidR="003968D3">
        <w:rPr>
          <w:color w:val="000000"/>
          <w:sz w:val="22"/>
          <w:szCs w:val="22"/>
        </w:rPr>
        <w:t xml:space="preserve"> a cabo el escrutinio en Argentina de las elecciones primarias para los cargos electivos nacionales de presidente y vicepresidente, diputados y senadores en agosto, las elecciones nacionales para los cargos electivos anteriores en octubre, las elecciones locales de la ciudad de Buenos Aires y de la provincia de Buenos Aires, parte de las elecciones locales de Colombia y las locales también de Oslo (Noruega) con recuento electrónico “e-counting”.</w:t>
      </w:r>
      <w:r w:rsidR="000D7F5C">
        <w:rPr>
          <w:color w:val="000000"/>
          <w:sz w:val="22"/>
          <w:szCs w:val="22"/>
        </w:rPr>
        <w:t xml:space="preserve"> </w:t>
      </w:r>
    </w:p>
    <w:p w:rsidR="003968D3" w:rsidRPr="00267180" w:rsidRDefault="003968D3">
      <w:pPr>
        <w:jc w:val="both"/>
        <w:rPr>
          <w:rFonts w:ascii="Arial" w:hAnsi="Arial" w:cs="Arial"/>
          <w:b/>
          <w:sz w:val="22"/>
          <w:szCs w:val="22"/>
          <w:lang w:val="es-ES"/>
        </w:rPr>
      </w:pPr>
    </w:p>
    <w:p w:rsidR="002734F5" w:rsidRPr="00E14E31" w:rsidRDefault="002734F5" w:rsidP="002734F5">
      <w:pPr>
        <w:jc w:val="both"/>
        <w:rPr>
          <w:rFonts w:ascii="Arial" w:hAnsi="Arial" w:cs="Arial"/>
          <w:sz w:val="22"/>
          <w:szCs w:val="22"/>
          <w:lang w:val="es-ES"/>
        </w:rPr>
      </w:pPr>
      <w:r w:rsidRPr="00BE787F">
        <w:rPr>
          <w:rFonts w:ascii="Arial" w:hAnsi="Arial" w:cs="Arial"/>
          <w:sz w:val="22"/>
          <w:szCs w:val="22"/>
          <w:lang w:val="es-ES"/>
        </w:rPr>
        <w:t>Indra es la multinacional tecnológica líder en España y una de las principales de Europa y Latinoamérica. Es la segunda compañía europea de su sector por inversión en I+D, con 550 M€ invertidos en los últimos tres años. Las ventas en 2011 ascendieron a 2.688 M€ y en la actualidad más de la mitad de los ingresos proceden del mercado internacional. Cuenta con 40.000 profesionales y con clientes en 118 países.</w:t>
      </w:r>
    </w:p>
    <w:p w:rsidR="002734F5" w:rsidRDefault="002734F5" w:rsidP="002734F5">
      <w:pPr>
        <w:ind w:right="-569"/>
        <w:jc w:val="both"/>
        <w:rPr>
          <w:rFonts w:ascii="Arial" w:hAnsi="Arial" w:cs="Arial"/>
          <w:sz w:val="22"/>
          <w:szCs w:val="22"/>
        </w:rPr>
      </w:pPr>
    </w:p>
    <w:p w:rsidR="003968D3" w:rsidRDefault="003968D3" w:rsidP="00130555">
      <w:pPr>
        <w:jc w:val="both"/>
      </w:pPr>
    </w:p>
    <w:sectPr w:rsidR="003968D3" w:rsidSect="00111C0C">
      <w:headerReference w:type="default" r:id="rId8"/>
      <w:footerReference w:type="default" r:id="rId9"/>
      <w:pgSz w:w="11906" w:h="16838"/>
      <w:pgMar w:top="2239" w:right="1418" w:bottom="212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212" w:rsidRDefault="00FC4212">
      <w:r>
        <w:separator/>
      </w:r>
    </w:p>
  </w:endnote>
  <w:endnote w:type="continuationSeparator" w:id="0">
    <w:p w:rsidR="00FC4212" w:rsidRDefault="00FC42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465"/>
      <w:gridCol w:w="1134"/>
      <w:gridCol w:w="3827"/>
    </w:tblGrid>
    <w:tr w:rsidR="003968D3">
      <w:trPr>
        <w:trHeight w:val="857"/>
      </w:trPr>
      <w:tc>
        <w:tcPr>
          <w:tcW w:w="4465" w:type="dxa"/>
          <w:shd w:val="clear" w:color="auto" w:fill="auto"/>
        </w:tcPr>
        <w:p w:rsidR="003968D3" w:rsidRDefault="003968D3">
          <w:pPr>
            <w:pStyle w:val="Piedepgina"/>
            <w:tabs>
              <w:tab w:val="left" w:pos="993"/>
            </w:tabs>
            <w:snapToGrid w:val="0"/>
            <w:rPr>
              <w:rFonts w:ascii="Arial" w:hAnsi="Arial"/>
              <w:sz w:val="20"/>
            </w:rPr>
          </w:pPr>
          <w:r>
            <w:rPr>
              <w:rFonts w:ascii="Arial" w:hAnsi="Arial"/>
              <w:sz w:val="20"/>
            </w:rPr>
            <w:t>Comunicación y Relaciones con los Medios</w:t>
          </w:r>
        </w:p>
        <w:p w:rsidR="003968D3" w:rsidRDefault="003968D3">
          <w:pPr>
            <w:pStyle w:val="Piedepgina"/>
            <w:tabs>
              <w:tab w:val="left" w:pos="993"/>
            </w:tabs>
            <w:rPr>
              <w:rFonts w:ascii="Arial" w:hAnsi="Arial"/>
              <w:sz w:val="20"/>
              <w:lang w:val="es-ES"/>
            </w:rPr>
          </w:pPr>
          <w:r>
            <w:rPr>
              <w:rFonts w:ascii="Arial" w:hAnsi="Arial"/>
              <w:sz w:val="20"/>
              <w:lang w:val="es-ES"/>
            </w:rPr>
            <w:t xml:space="preserve">Tlf.: + (34) 91 480 97 01   </w:t>
          </w:r>
        </w:p>
        <w:p w:rsidR="003968D3" w:rsidRDefault="003968D3">
          <w:pPr>
            <w:pStyle w:val="Piedepgina"/>
            <w:tabs>
              <w:tab w:val="left" w:pos="993"/>
            </w:tabs>
            <w:ind w:right="-70"/>
            <w:rPr>
              <w:rFonts w:ascii="Arial" w:hAnsi="Arial"/>
              <w:sz w:val="20"/>
              <w:lang w:val="es-ES"/>
            </w:rPr>
          </w:pPr>
          <w:r>
            <w:rPr>
              <w:rFonts w:ascii="Arial" w:hAnsi="Arial"/>
              <w:sz w:val="20"/>
              <w:lang w:val="es-ES"/>
            </w:rPr>
            <w:t>indraprensa@indracompany.com</w:t>
          </w:r>
        </w:p>
      </w:tc>
      <w:tc>
        <w:tcPr>
          <w:tcW w:w="1134" w:type="dxa"/>
          <w:shd w:val="clear" w:color="auto" w:fill="auto"/>
        </w:tcPr>
        <w:p w:rsidR="003968D3" w:rsidRDefault="003968D3">
          <w:pPr>
            <w:pStyle w:val="Piedepgina"/>
            <w:snapToGrid w:val="0"/>
            <w:jc w:val="right"/>
            <w:rPr>
              <w:rFonts w:ascii="Arial" w:hAnsi="Arial"/>
              <w:sz w:val="20"/>
              <w:lang w:val="es-ES"/>
            </w:rPr>
          </w:pPr>
        </w:p>
        <w:p w:rsidR="003968D3" w:rsidRDefault="003968D3">
          <w:pPr>
            <w:pStyle w:val="Piedepgina"/>
            <w:jc w:val="right"/>
            <w:rPr>
              <w:rFonts w:ascii="Arial" w:hAnsi="Arial"/>
              <w:sz w:val="20"/>
              <w:lang w:val="es-ES"/>
            </w:rPr>
          </w:pPr>
        </w:p>
      </w:tc>
      <w:tc>
        <w:tcPr>
          <w:tcW w:w="3827" w:type="dxa"/>
          <w:shd w:val="clear" w:color="auto" w:fill="auto"/>
        </w:tcPr>
        <w:p w:rsidR="003968D3" w:rsidRDefault="003968D3">
          <w:pPr>
            <w:pStyle w:val="Piedepgina"/>
            <w:snapToGrid w:val="0"/>
            <w:jc w:val="right"/>
            <w:rPr>
              <w:rFonts w:ascii="Arial" w:hAnsi="Arial"/>
              <w:sz w:val="20"/>
              <w:shd w:val="clear" w:color="auto" w:fill="FFFF00"/>
              <w:lang w:val="es-ES"/>
            </w:rPr>
          </w:pPr>
        </w:p>
        <w:p w:rsidR="003968D3" w:rsidRDefault="003968D3">
          <w:pPr>
            <w:pStyle w:val="Piedepgina"/>
            <w:jc w:val="right"/>
            <w:rPr>
              <w:rFonts w:ascii="Arial" w:hAnsi="Arial"/>
              <w:sz w:val="20"/>
              <w:shd w:val="clear" w:color="auto" w:fill="FFFF00"/>
              <w:lang w:val="es-ES"/>
            </w:rPr>
          </w:pPr>
        </w:p>
        <w:p w:rsidR="003968D3" w:rsidRDefault="00E03B9F" w:rsidP="00E03B9F">
          <w:pPr>
            <w:pStyle w:val="Piedepgina"/>
            <w:jc w:val="right"/>
            <w:rPr>
              <w:rFonts w:ascii="Arial" w:hAnsi="Arial"/>
              <w:sz w:val="20"/>
            </w:rPr>
          </w:pPr>
          <w:r>
            <w:rPr>
              <w:rFonts w:ascii="Arial" w:hAnsi="Arial"/>
              <w:sz w:val="20"/>
            </w:rPr>
            <w:t>Madrid, 10</w:t>
          </w:r>
          <w:r w:rsidR="003968D3">
            <w:rPr>
              <w:rFonts w:ascii="Arial" w:hAnsi="Arial"/>
              <w:sz w:val="20"/>
            </w:rPr>
            <w:t xml:space="preserve"> de </w:t>
          </w:r>
          <w:r>
            <w:rPr>
              <w:rFonts w:ascii="Arial" w:hAnsi="Arial"/>
              <w:sz w:val="20"/>
            </w:rPr>
            <w:t xml:space="preserve">octubre de </w:t>
          </w:r>
          <w:r w:rsidR="003968D3">
            <w:rPr>
              <w:rFonts w:ascii="Arial" w:hAnsi="Arial"/>
              <w:sz w:val="20"/>
            </w:rPr>
            <w:t>2012</w:t>
          </w:r>
        </w:p>
      </w:tc>
    </w:tr>
  </w:tbl>
  <w:p w:rsidR="003968D3" w:rsidRDefault="003968D3">
    <w:pPr>
      <w:pStyle w:val="Piedepgina"/>
      <w:jc w:val="right"/>
      <w:rPr>
        <w:rFonts w:ascii="Arial" w:hAnsi="Arial"/>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212" w:rsidRDefault="00FC4212">
      <w:r>
        <w:separator/>
      </w:r>
    </w:p>
  </w:footnote>
  <w:footnote w:type="continuationSeparator" w:id="0">
    <w:p w:rsidR="00FC4212" w:rsidRDefault="00FC4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D3" w:rsidRDefault="00D85A9A">
    <w:pPr>
      <w:pStyle w:val="Encabezado"/>
      <w:rPr>
        <w:lang w:val="en-US"/>
      </w:rPr>
    </w:pPr>
    <w:r>
      <w:rPr>
        <w:noProof/>
        <w:lang w:val="es-ES" w:eastAsia="es-ES"/>
      </w:rPr>
      <w:drawing>
        <wp:anchor distT="0" distB="0" distL="114935" distR="114935" simplePos="0" relativeHeight="251657728" behindDoc="0" locked="0" layoutInCell="1" allowOverlap="1">
          <wp:simplePos x="0" y="0"/>
          <wp:positionH relativeFrom="column">
            <wp:posOffset>2351405</wp:posOffset>
          </wp:positionH>
          <wp:positionV relativeFrom="paragraph">
            <wp:posOffset>-454660</wp:posOffset>
          </wp:positionV>
          <wp:extent cx="4368800" cy="1386205"/>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6176" b="19550"/>
                  <a:stretch>
                    <a:fillRect/>
                  </a:stretch>
                </pic:blipFill>
                <pic:spPr bwMode="auto">
                  <a:xfrm>
                    <a:off x="0" y="0"/>
                    <a:ext cx="4368800" cy="138620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7"/>
    <w:lvl w:ilvl="0">
      <w:start w:val="1"/>
      <w:numFmt w:val="bullet"/>
      <w:lvlText w:val=""/>
      <w:lvlJc w:val="left"/>
      <w:pPr>
        <w:tabs>
          <w:tab w:val="num" w:pos="720"/>
        </w:tabs>
        <w:ind w:left="720" w:hanging="360"/>
      </w:pPr>
      <w:rPr>
        <w:rFonts w:ascii="Symbol" w:hAnsi="Symbol"/>
      </w:rPr>
    </w:lvl>
  </w:abstractNum>
  <w:abstractNum w:abstractNumId="2">
    <w:nsid w:val="0C4D06B7"/>
    <w:multiLevelType w:val="hybridMultilevel"/>
    <w:tmpl w:val="8424C0E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2EDC7687"/>
    <w:multiLevelType w:val="hybridMultilevel"/>
    <w:tmpl w:val="BF4687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CC63592"/>
    <w:multiLevelType w:val="hybridMultilevel"/>
    <w:tmpl w:val="CBA88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o:colormenu v:ext="edit" fillcolor="none [4]" strokecolor="none [1]" shadowcolor="none [2]"/>
    </o:shapedefaults>
  </w:hdrShapeDefaults>
  <w:footnotePr>
    <w:footnote w:id="-1"/>
    <w:footnote w:id="0"/>
  </w:footnotePr>
  <w:endnotePr>
    <w:endnote w:id="-1"/>
    <w:endnote w:id="0"/>
  </w:endnotePr>
  <w:compat/>
  <w:rsids>
    <w:rsidRoot w:val="00AC3259"/>
    <w:rsid w:val="00026048"/>
    <w:rsid w:val="000472F6"/>
    <w:rsid w:val="0006041E"/>
    <w:rsid w:val="000C6856"/>
    <w:rsid w:val="000D7F5C"/>
    <w:rsid w:val="00107546"/>
    <w:rsid w:val="00111C0C"/>
    <w:rsid w:val="00121011"/>
    <w:rsid w:val="00130555"/>
    <w:rsid w:val="00160D49"/>
    <w:rsid w:val="00163E95"/>
    <w:rsid w:val="001A700B"/>
    <w:rsid w:val="001E6539"/>
    <w:rsid w:val="00257E11"/>
    <w:rsid w:val="00267180"/>
    <w:rsid w:val="002734F5"/>
    <w:rsid w:val="002C6E3A"/>
    <w:rsid w:val="002F2412"/>
    <w:rsid w:val="0038490F"/>
    <w:rsid w:val="003968D3"/>
    <w:rsid w:val="004A6CCB"/>
    <w:rsid w:val="004D37E6"/>
    <w:rsid w:val="004F6CA5"/>
    <w:rsid w:val="00575C1D"/>
    <w:rsid w:val="005A12DC"/>
    <w:rsid w:val="005C04AD"/>
    <w:rsid w:val="006666E4"/>
    <w:rsid w:val="006D0AD6"/>
    <w:rsid w:val="00773518"/>
    <w:rsid w:val="007C7C85"/>
    <w:rsid w:val="00896635"/>
    <w:rsid w:val="008A677C"/>
    <w:rsid w:val="00903942"/>
    <w:rsid w:val="0090461F"/>
    <w:rsid w:val="0090799B"/>
    <w:rsid w:val="009270A9"/>
    <w:rsid w:val="00950EEB"/>
    <w:rsid w:val="00970FF7"/>
    <w:rsid w:val="00983A96"/>
    <w:rsid w:val="0099119E"/>
    <w:rsid w:val="00992ABC"/>
    <w:rsid w:val="00A25890"/>
    <w:rsid w:val="00A30657"/>
    <w:rsid w:val="00AC3259"/>
    <w:rsid w:val="00B014CC"/>
    <w:rsid w:val="00B31ED2"/>
    <w:rsid w:val="00B52913"/>
    <w:rsid w:val="00B863E8"/>
    <w:rsid w:val="00BC5CDB"/>
    <w:rsid w:val="00C63274"/>
    <w:rsid w:val="00C74C23"/>
    <w:rsid w:val="00C81860"/>
    <w:rsid w:val="00CD4E80"/>
    <w:rsid w:val="00D36C3C"/>
    <w:rsid w:val="00D85A9A"/>
    <w:rsid w:val="00DB4130"/>
    <w:rsid w:val="00DC2EE8"/>
    <w:rsid w:val="00DE0110"/>
    <w:rsid w:val="00E03B9F"/>
    <w:rsid w:val="00E529AB"/>
    <w:rsid w:val="00F76388"/>
    <w:rsid w:val="00F93E1D"/>
    <w:rsid w:val="00FC42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C0C"/>
    <w:pPr>
      <w:suppressAutoHyphens/>
    </w:pPr>
    <w:rPr>
      <w:sz w:val="24"/>
      <w:lang w:val="es-ES_tradnl" w:eastAsia="ar-SA"/>
    </w:rPr>
  </w:style>
  <w:style w:type="paragraph" w:styleId="Ttulo1">
    <w:name w:val="heading 1"/>
    <w:basedOn w:val="Normal"/>
    <w:next w:val="Normal"/>
    <w:qFormat/>
    <w:rsid w:val="00111C0C"/>
    <w:pPr>
      <w:keepNext/>
      <w:numPr>
        <w:numId w:val="1"/>
      </w:numPr>
      <w:jc w:val="center"/>
      <w:outlineLvl w:val="0"/>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111C0C"/>
    <w:rPr>
      <w:rFonts w:ascii="Wingdings" w:hAnsi="Wingdings"/>
    </w:rPr>
  </w:style>
  <w:style w:type="character" w:customStyle="1" w:styleId="WW8Num2z0">
    <w:name w:val="WW8Num2z0"/>
    <w:rsid w:val="00111C0C"/>
    <w:rPr>
      <w:rFonts w:ascii="Wingdings" w:hAnsi="Wingdings"/>
    </w:rPr>
  </w:style>
  <w:style w:type="character" w:customStyle="1" w:styleId="WW8Num3z0">
    <w:name w:val="WW8Num3z0"/>
    <w:rsid w:val="00111C0C"/>
    <w:rPr>
      <w:rFonts w:ascii="Wingdings" w:hAnsi="Wingdings"/>
    </w:rPr>
  </w:style>
  <w:style w:type="character" w:customStyle="1" w:styleId="WW8Num4z0">
    <w:name w:val="WW8Num4z0"/>
    <w:rsid w:val="00111C0C"/>
    <w:rPr>
      <w:rFonts w:ascii="Wingdings" w:hAnsi="Wingdings"/>
    </w:rPr>
  </w:style>
  <w:style w:type="character" w:customStyle="1" w:styleId="WW8Num5z0">
    <w:name w:val="WW8Num5z0"/>
    <w:rsid w:val="00111C0C"/>
    <w:rPr>
      <w:rFonts w:ascii="Wingdings" w:hAnsi="Wingdings"/>
    </w:rPr>
  </w:style>
  <w:style w:type="character" w:customStyle="1" w:styleId="WW8Num5z1">
    <w:name w:val="WW8Num5z1"/>
    <w:rsid w:val="00111C0C"/>
    <w:rPr>
      <w:rFonts w:ascii="Courier New" w:hAnsi="Courier New" w:cs="Arial"/>
    </w:rPr>
  </w:style>
  <w:style w:type="character" w:customStyle="1" w:styleId="WW8Num5z3">
    <w:name w:val="WW8Num5z3"/>
    <w:rsid w:val="00111C0C"/>
    <w:rPr>
      <w:rFonts w:ascii="Symbol" w:hAnsi="Symbol"/>
    </w:rPr>
  </w:style>
  <w:style w:type="character" w:customStyle="1" w:styleId="WW8Num6z0">
    <w:name w:val="WW8Num6z0"/>
    <w:rsid w:val="00111C0C"/>
    <w:rPr>
      <w:rFonts w:ascii="Symbol" w:hAnsi="Symbol"/>
    </w:rPr>
  </w:style>
  <w:style w:type="character" w:customStyle="1" w:styleId="WW8Num6z1">
    <w:name w:val="WW8Num6z1"/>
    <w:rsid w:val="00111C0C"/>
    <w:rPr>
      <w:rFonts w:ascii="Courier New" w:hAnsi="Courier New" w:cs="Courier New"/>
    </w:rPr>
  </w:style>
  <w:style w:type="character" w:customStyle="1" w:styleId="WW8Num6z2">
    <w:name w:val="WW8Num6z2"/>
    <w:rsid w:val="00111C0C"/>
    <w:rPr>
      <w:rFonts w:ascii="Wingdings" w:hAnsi="Wingdings"/>
    </w:rPr>
  </w:style>
  <w:style w:type="character" w:customStyle="1" w:styleId="WW8Num7z0">
    <w:name w:val="WW8Num7z0"/>
    <w:rsid w:val="00111C0C"/>
    <w:rPr>
      <w:rFonts w:ascii="Symbol" w:hAnsi="Symbol"/>
    </w:rPr>
  </w:style>
  <w:style w:type="character" w:customStyle="1" w:styleId="WW8Num7z1">
    <w:name w:val="WW8Num7z1"/>
    <w:rsid w:val="00111C0C"/>
    <w:rPr>
      <w:rFonts w:ascii="Courier New" w:hAnsi="Courier New" w:cs="Courier New"/>
    </w:rPr>
  </w:style>
  <w:style w:type="character" w:customStyle="1" w:styleId="WW8Num7z2">
    <w:name w:val="WW8Num7z2"/>
    <w:rsid w:val="00111C0C"/>
    <w:rPr>
      <w:rFonts w:ascii="Wingdings" w:hAnsi="Wingdings"/>
    </w:rPr>
  </w:style>
  <w:style w:type="character" w:customStyle="1" w:styleId="WW8Num8z0">
    <w:name w:val="WW8Num8z0"/>
    <w:rsid w:val="00111C0C"/>
    <w:rPr>
      <w:rFonts w:ascii="Symbol" w:hAnsi="Symbol"/>
    </w:rPr>
  </w:style>
  <w:style w:type="character" w:customStyle="1" w:styleId="WW8Num8z1">
    <w:name w:val="WW8Num8z1"/>
    <w:rsid w:val="00111C0C"/>
    <w:rPr>
      <w:rFonts w:ascii="Courier New" w:hAnsi="Courier New" w:cs="Courier New"/>
    </w:rPr>
  </w:style>
  <w:style w:type="character" w:customStyle="1" w:styleId="WW8Num8z2">
    <w:name w:val="WW8Num8z2"/>
    <w:rsid w:val="00111C0C"/>
    <w:rPr>
      <w:rFonts w:ascii="Wingdings" w:hAnsi="Wingdings"/>
    </w:rPr>
  </w:style>
  <w:style w:type="character" w:customStyle="1" w:styleId="WW8Num9z0">
    <w:name w:val="WW8Num9z0"/>
    <w:rsid w:val="00111C0C"/>
    <w:rPr>
      <w:rFonts w:ascii="Wingdings" w:hAnsi="Wingdings"/>
    </w:rPr>
  </w:style>
  <w:style w:type="character" w:customStyle="1" w:styleId="WW8Num9z1">
    <w:name w:val="WW8Num9z1"/>
    <w:rsid w:val="00111C0C"/>
    <w:rPr>
      <w:rFonts w:ascii="Courier New" w:hAnsi="Courier New" w:cs="Symbol"/>
    </w:rPr>
  </w:style>
  <w:style w:type="character" w:customStyle="1" w:styleId="WW8Num9z3">
    <w:name w:val="WW8Num9z3"/>
    <w:rsid w:val="00111C0C"/>
    <w:rPr>
      <w:rFonts w:ascii="Symbol" w:hAnsi="Symbol"/>
    </w:rPr>
  </w:style>
  <w:style w:type="character" w:customStyle="1" w:styleId="WW8Num10z0">
    <w:name w:val="WW8Num10z0"/>
    <w:rsid w:val="00111C0C"/>
    <w:rPr>
      <w:rFonts w:ascii="Wingdings" w:hAnsi="Wingdings"/>
    </w:rPr>
  </w:style>
  <w:style w:type="character" w:customStyle="1" w:styleId="WW8Num10z1">
    <w:name w:val="WW8Num10z1"/>
    <w:rsid w:val="00111C0C"/>
    <w:rPr>
      <w:rFonts w:ascii="Courier New" w:hAnsi="Courier New" w:cs="Symbol"/>
    </w:rPr>
  </w:style>
  <w:style w:type="character" w:customStyle="1" w:styleId="WW8Num10z3">
    <w:name w:val="WW8Num10z3"/>
    <w:rsid w:val="00111C0C"/>
    <w:rPr>
      <w:rFonts w:ascii="Symbol" w:hAnsi="Symbol"/>
    </w:rPr>
  </w:style>
  <w:style w:type="character" w:customStyle="1" w:styleId="WW8Num11z0">
    <w:name w:val="WW8Num11z0"/>
    <w:rsid w:val="00111C0C"/>
    <w:rPr>
      <w:rFonts w:ascii="Wingdings" w:hAnsi="Wingdings"/>
    </w:rPr>
  </w:style>
  <w:style w:type="character" w:customStyle="1" w:styleId="WW8Num11z1">
    <w:name w:val="WW8Num11z1"/>
    <w:rsid w:val="00111C0C"/>
    <w:rPr>
      <w:rFonts w:ascii="Courier New" w:hAnsi="Courier New" w:cs="Symbol"/>
    </w:rPr>
  </w:style>
  <w:style w:type="character" w:customStyle="1" w:styleId="WW8Num11z3">
    <w:name w:val="WW8Num11z3"/>
    <w:rsid w:val="00111C0C"/>
    <w:rPr>
      <w:rFonts w:ascii="Symbol" w:hAnsi="Symbol"/>
    </w:rPr>
  </w:style>
  <w:style w:type="character" w:customStyle="1" w:styleId="WW8Num12z0">
    <w:name w:val="WW8Num12z0"/>
    <w:rsid w:val="00111C0C"/>
    <w:rPr>
      <w:rFonts w:ascii="Wingdings" w:hAnsi="Wingdings"/>
    </w:rPr>
  </w:style>
  <w:style w:type="character" w:customStyle="1" w:styleId="WW8Num12z1">
    <w:name w:val="WW8Num12z1"/>
    <w:rsid w:val="00111C0C"/>
    <w:rPr>
      <w:rFonts w:ascii="Courier New" w:hAnsi="Courier New" w:cs="Symbol"/>
    </w:rPr>
  </w:style>
  <w:style w:type="character" w:customStyle="1" w:styleId="WW8Num12z3">
    <w:name w:val="WW8Num12z3"/>
    <w:rsid w:val="00111C0C"/>
    <w:rPr>
      <w:rFonts w:ascii="Symbol" w:hAnsi="Symbol"/>
    </w:rPr>
  </w:style>
  <w:style w:type="character" w:customStyle="1" w:styleId="WW8Num13z0">
    <w:name w:val="WW8Num13z0"/>
    <w:rsid w:val="00111C0C"/>
    <w:rPr>
      <w:rFonts w:ascii="Wingdings" w:hAnsi="Wingdings"/>
    </w:rPr>
  </w:style>
  <w:style w:type="character" w:customStyle="1" w:styleId="WW8Num13z1">
    <w:name w:val="WW8Num13z1"/>
    <w:rsid w:val="00111C0C"/>
    <w:rPr>
      <w:rFonts w:ascii="Courier New" w:hAnsi="Courier New" w:cs="Symbol"/>
    </w:rPr>
  </w:style>
  <w:style w:type="character" w:customStyle="1" w:styleId="WW8Num13z3">
    <w:name w:val="WW8Num13z3"/>
    <w:rsid w:val="00111C0C"/>
    <w:rPr>
      <w:rFonts w:ascii="Symbol" w:hAnsi="Symbol"/>
    </w:rPr>
  </w:style>
  <w:style w:type="character" w:customStyle="1" w:styleId="WW8Num14z0">
    <w:name w:val="WW8Num14z0"/>
    <w:rsid w:val="00111C0C"/>
    <w:rPr>
      <w:rFonts w:ascii="Symbol" w:hAnsi="Symbol"/>
    </w:rPr>
  </w:style>
  <w:style w:type="character" w:customStyle="1" w:styleId="WW8Num14z1">
    <w:name w:val="WW8Num14z1"/>
    <w:rsid w:val="00111C0C"/>
    <w:rPr>
      <w:rFonts w:ascii="Courier New" w:hAnsi="Courier New" w:cs="Arial"/>
    </w:rPr>
  </w:style>
  <w:style w:type="character" w:customStyle="1" w:styleId="WW8Num14z2">
    <w:name w:val="WW8Num14z2"/>
    <w:rsid w:val="00111C0C"/>
    <w:rPr>
      <w:rFonts w:ascii="Wingdings" w:hAnsi="Wingdings"/>
    </w:rPr>
  </w:style>
  <w:style w:type="character" w:customStyle="1" w:styleId="WW8Num15z0">
    <w:name w:val="WW8Num15z0"/>
    <w:rsid w:val="00111C0C"/>
    <w:rPr>
      <w:rFonts w:ascii="Symbol" w:hAnsi="Symbol"/>
    </w:rPr>
  </w:style>
  <w:style w:type="character" w:customStyle="1" w:styleId="WW8Num15z1">
    <w:name w:val="WW8Num15z1"/>
    <w:rsid w:val="00111C0C"/>
    <w:rPr>
      <w:rFonts w:ascii="Courier New" w:hAnsi="Courier New"/>
    </w:rPr>
  </w:style>
  <w:style w:type="character" w:customStyle="1" w:styleId="WW8Num15z2">
    <w:name w:val="WW8Num15z2"/>
    <w:rsid w:val="00111C0C"/>
    <w:rPr>
      <w:rFonts w:ascii="Wingdings" w:hAnsi="Wingdings"/>
    </w:rPr>
  </w:style>
  <w:style w:type="character" w:customStyle="1" w:styleId="WW8Num16z0">
    <w:name w:val="WW8Num16z0"/>
    <w:rsid w:val="00111C0C"/>
    <w:rPr>
      <w:rFonts w:ascii="Wingdings" w:hAnsi="Wingdings"/>
    </w:rPr>
  </w:style>
  <w:style w:type="character" w:customStyle="1" w:styleId="WW8Num16z1">
    <w:name w:val="WW8Num16z1"/>
    <w:rsid w:val="00111C0C"/>
    <w:rPr>
      <w:rFonts w:ascii="Courier New" w:hAnsi="Courier New" w:cs="Symbol"/>
    </w:rPr>
  </w:style>
  <w:style w:type="character" w:customStyle="1" w:styleId="WW8Num16z3">
    <w:name w:val="WW8Num16z3"/>
    <w:rsid w:val="00111C0C"/>
    <w:rPr>
      <w:rFonts w:ascii="Symbol" w:hAnsi="Symbol"/>
    </w:rPr>
  </w:style>
  <w:style w:type="character" w:customStyle="1" w:styleId="WW8Num17z0">
    <w:name w:val="WW8Num17z0"/>
    <w:rsid w:val="00111C0C"/>
    <w:rPr>
      <w:rFonts w:ascii="Wingdings" w:hAnsi="Wingdings"/>
    </w:rPr>
  </w:style>
  <w:style w:type="character" w:customStyle="1" w:styleId="WW8Num17z1">
    <w:name w:val="WW8Num17z1"/>
    <w:rsid w:val="00111C0C"/>
    <w:rPr>
      <w:rFonts w:ascii="Courier New" w:hAnsi="Courier New"/>
    </w:rPr>
  </w:style>
  <w:style w:type="character" w:customStyle="1" w:styleId="WW8Num17z3">
    <w:name w:val="WW8Num17z3"/>
    <w:rsid w:val="00111C0C"/>
    <w:rPr>
      <w:rFonts w:ascii="Symbol" w:hAnsi="Symbol"/>
    </w:rPr>
  </w:style>
  <w:style w:type="character" w:customStyle="1" w:styleId="WW8Num18z0">
    <w:name w:val="WW8Num18z0"/>
    <w:rsid w:val="00111C0C"/>
    <w:rPr>
      <w:rFonts w:ascii="Symbol" w:hAnsi="Symbol"/>
    </w:rPr>
  </w:style>
  <w:style w:type="character" w:customStyle="1" w:styleId="WW8Num18z1">
    <w:name w:val="WW8Num18z1"/>
    <w:rsid w:val="00111C0C"/>
    <w:rPr>
      <w:rFonts w:ascii="Courier New" w:hAnsi="Courier New" w:cs="Courier New"/>
    </w:rPr>
  </w:style>
  <w:style w:type="character" w:customStyle="1" w:styleId="WW8Num18z2">
    <w:name w:val="WW8Num18z2"/>
    <w:rsid w:val="00111C0C"/>
    <w:rPr>
      <w:rFonts w:ascii="Wingdings" w:hAnsi="Wingdings"/>
    </w:rPr>
  </w:style>
  <w:style w:type="character" w:customStyle="1" w:styleId="WW8Num19z0">
    <w:name w:val="WW8Num19z0"/>
    <w:rsid w:val="00111C0C"/>
    <w:rPr>
      <w:rFonts w:ascii="Wingdings" w:hAnsi="Wingdings"/>
    </w:rPr>
  </w:style>
  <w:style w:type="character" w:customStyle="1" w:styleId="Fuentedeprrafopredeter1">
    <w:name w:val="Fuente de párrafo predeter.1"/>
    <w:rsid w:val="00111C0C"/>
  </w:style>
  <w:style w:type="character" w:styleId="Hipervnculo">
    <w:name w:val="Hyperlink"/>
    <w:rsid w:val="00111C0C"/>
    <w:rPr>
      <w:strike w:val="0"/>
      <w:dstrike w:val="0"/>
      <w:color w:val="0000FF"/>
      <w:u w:val="none"/>
    </w:rPr>
  </w:style>
  <w:style w:type="character" w:styleId="Textoennegrita">
    <w:name w:val="Strong"/>
    <w:qFormat/>
    <w:rsid w:val="00111C0C"/>
    <w:rPr>
      <w:b/>
      <w:bCs/>
    </w:rPr>
  </w:style>
  <w:style w:type="character" w:customStyle="1" w:styleId="TextoindependienteCar">
    <w:name w:val="Texto independiente Car"/>
    <w:basedOn w:val="Fuentedeprrafopredeter1"/>
    <w:rsid w:val="00111C0C"/>
    <w:rPr>
      <w:rFonts w:ascii="Arial" w:hAnsi="Arial"/>
      <w:sz w:val="24"/>
      <w:lang w:val="es-ES_tradnl"/>
    </w:rPr>
  </w:style>
  <w:style w:type="character" w:customStyle="1" w:styleId="Refdecomentario1">
    <w:name w:val="Ref. de comentario1"/>
    <w:basedOn w:val="Fuentedeprrafopredeter1"/>
    <w:rsid w:val="00111C0C"/>
    <w:rPr>
      <w:sz w:val="16"/>
      <w:szCs w:val="16"/>
    </w:rPr>
  </w:style>
  <w:style w:type="character" w:customStyle="1" w:styleId="TextocomentarioCar">
    <w:name w:val="Texto comentario Car"/>
    <w:basedOn w:val="Fuentedeprrafopredeter1"/>
    <w:rsid w:val="00111C0C"/>
    <w:rPr>
      <w:lang w:val="es-ES_tradnl"/>
    </w:rPr>
  </w:style>
  <w:style w:type="character" w:customStyle="1" w:styleId="AsuntodelcomentarioCar">
    <w:name w:val="Asunto del comentario Car"/>
    <w:basedOn w:val="TextocomentarioCar"/>
    <w:rsid w:val="00111C0C"/>
    <w:rPr>
      <w:b/>
      <w:bCs/>
    </w:rPr>
  </w:style>
  <w:style w:type="paragraph" w:customStyle="1" w:styleId="Encabezado1">
    <w:name w:val="Encabezado1"/>
    <w:basedOn w:val="Normal"/>
    <w:next w:val="Textoindependiente"/>
    <w:rsid w:val="00111C0C"/>
    <w:pPr>
      <w:keepNext/>
      <w:spacing w:before="240" w:after="120"/>
    </w:pPr>
    <w:rPr>
      <w:rFonts w:ascii="Arial" w:eastAsia="SimSun" w:hAnsi="Arial" w:cs="Mangal"/>
      <w:sz w:val="28"/>
      <w:szCs w:val="28"/>
    </w:rPr>
  </w:style>
  <w:style w:type="paragraph" w:styleId="Textoindependiente">
    <w:name w:val="Body Text"/>
    <w:basedOn w:val="Normal"/>
    <w:rsid w:val="00111C0C"/>
    <w:pPr>
      <w:jc w:val="both"/>
    </w:pPr>
    <w:rPr>
      <w:rFonts w:ascii="Arial" w:hAnsi="Arial"/>
    </w:rPr>
  </w:style>
  <w:style w:type="paragraph" w:styleId="Lista">
    <w:name w:val="List"/>
    <w:basedOn w:val="Textoindependiente"/>
    <w:rsid w:val="00111C0C"/>
    <w:rPr>
      <w:rFonts w:cs="Mangal"/>
    </w:rPr>
  </w:style>
  <w:style w:type="paragraph" w:customStyle="1" w:styleId="Etiqueta">
    <w:name w:val="Etiqueta"/>
    <w:basedOn w:val="Normal"/>
    <w:rsid w:val="00111C0C"/>
    <w:pPr>
      <w:suppressLineNumbers/>
      <w:spacing w:before="120" w:after="120"/>
    </w:pPr>
    <w:rPr>
      <w:rFonts w:cs="Mangal"/>
      <w:i/>
      <w:iCs/>
      <w:szCs w:val="24"/>
    </w:rPr>
  </w:style>
  <w:style w:type="paragraph" w:customStyle="1" w:styleId="ndice">
    <w:name w:val="Índice"/>
    <w:basedOn w:val="Normal"/>
    <w:rsid w:val="00111C0C"/>
    <w:pPr>
      <w:suppressLineNumbers/>
    </w:pPr>
    <w:rPr>
      <w:rFonts w:cs="Mangal"/>
    </w:rPr>
  </w:style>
  <w:style w:type="paragraph" w:styleId="Encabezado">
    <w:name w:val="header"/>
    <w:basedOn w:val="Normal"/>
    <w:rsid w:val="00111C0C"/>
    <w:pPr>
      <w:tabs>
        <w:tab w:val="center" w:pos="4252"/>
        <w:tab w:val="right" w:pos="8504"/>
      </w:tabs>
    </w:pPr>
  </w:style>
  <w:style w:type="paragraph" w:styleId="Piedepgina">
    <w:name w:val="footer"/>
    <w:basedOn w:val="Normal"/>
    <w:rsid w:val="00111C0C"/>
    <w:pPr>
      <w:tabs>
        <w:tab w:val="center" w:pos="4252"/>
        <w:tab w:val="right" w:pos="8504"/>
      </w:tabs>
    </w:pPr>
  </w:style>
  <w:style w:type="paragraph" w:customStyle="1" w:styleId="Textoindependiente21">
    <w:name w:val="Texto independiente 21"/>
    <w:basedOn w:val="Normal"/>
    <w:rsid w:val="00111C0C"/>
    <w:pPr>
      <w:jc w:val="both"/>
    </w:pPr>
    <w:rPr>
      <w:rFonts w:ascii="Arial" w:hAnsi="Arial" w:cs="Arial"/>
      <w:szCs w:val="24"/>
      <w:lang w:val="es-ES"/>
    </w:rPr>
  </w:style>
  <w:style w:type="paragraph" w:customStyle="1" w:styleId="Sangra3detindependiente1">
    <w:name w:val="Sangría 3 de t. independiente1"/>
    <w:basedOn w:val="Normal"/>
    <w:rsid w:val="00111C0C"/>
    <w:pPr>
      <w:spacing w:after="120"/>
      <w:ind w:left="283"/>
    </w:pPr>
    <w:rPr>
      <w:sz w:val="16"/>
      <w:szCs w:val="16"/>
    </w:rPr>
  </w:style>
  <w:style w:type="paragraph" w:styleId="NormalWeb">
    <w:name w:val="Normal (Web)"/>
    <w:basedOn w:val="Normal"/>
    <w:rsid w:val="00111C0C"/>
    <w:rPr>
      <w:szCs w:val="24"/>
      <w:lang w:val="es-ES"/>
    </w:rPr>
  </w:style>
  <w:style w:type="paragraph" w:styleId="Textodeglobo">
    <w:name w:val="Balloon Text"/>
    <w:basedOn w:val="Normal"/>
    <w:rsid w:val="00111C0C"/>
    <w:rPr>
      <w:rFonts w:ascii="Tahoma" w:hAnsi="Tahoma" w:cs="Tahoma"/>
      <w:sz w:val="16"/>
      <w:szCs w:val="16"/>
    </w:rPr>
  </w:style>
  <w:style w:type="paragraph" w:customStyle="1" w:styleId="Textocomentario1">
    <w:name w:val="Texto comentario1"/>
    <w:basedOn w:val="Normal"/>
    <w:rsid w:val="00111C0C"/>
    <w:rPr>
      <w:sz w:val="20"/>
    </w:rPr>
  </w:style>
  <w:style w:type="paragraph" w:styleId="Asuntodelcomentario">
    <w:name w:val="annotation subject"/>
    <w:basedOn w:val="Textocomentario1"/>
    <w:next w:val="Textocomentario1"/>
    <w:rsid w:val="00111C0C"/>
    <w:rPr>
      <w:b/>
      <w:bCs/>
    </w:rPr>
  </w:style>
  <w:style w:type="paragraph" w:customStyle="1" w:styleId="Contenidodelmarco">
    <w:name w:val="Contenido del marco"/>
    <w:basedOn w:val="Textoindependiente"/>
    <w:rsid w:val="00111C0C"/>
  </w:style>
  <w:style w:type="paragraph" w:customStyle="1" w:styleId="Contenidodelatabla">
    <w:name w:val="Contenido de la tabla"/>
    <w:basedOn w:val="Normal"/>
    <w:rsid w:val="00111C0C"/>
    <w:pPr>
      <w:suppressLineNumbers/>
    </w:pPr>
  </w:style>
  <w:style w:type="paragraph" w:customStyle="1" w:styleId="Encabezadodelatabla">
    <w:name w:val="Encabezado de la tabla"/>
    <w:basedOn w:val="Contenidodelatabla"/>
    <w:rsid w:val="00111C0C"/>
    <w:pPr>
      <w:jc w:val="center"/>
    </w:pPr>
    <w:rPr>
      <w:b/>
      <w:bCs/>
    </w:rPr>
  </w:style>
  <w:style w:type="paragraph" w:styleId="Prrafodelista">
    <w:name w:val="List Paragraph"/>
    <w:basedOn w:val="Normal"/>
    <w:uiPriority w:val="34"/>
    <w:qFormat/>
    <w:rsid w:val="00DE0110"/>
    <w:pPr>
      <w:suppressAutoHyphens w:val="0"/>
      <w:ind w:left="720"/>
    </w:pPr>
    <w:rPr>
      <w:rFonts w:ascii="Calibri" w:eastAsiaTheme="minorHAnsi" w:hAnsi="Calibr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370155543">
      <w:bodyDiv w:val="1"/>
      <w:marLeft w:val="0"/>
      <w:marRight w:val="0"/>
      <w:marTop w:val="0"/>
      <w:marBottom w:val="0"/>
      <w:divBdr>
        <w:top w:val="none" w:sz="0" w:space="0" w:color="auto"/>
        <w:left w:val="none" w:sz="0" w:space="0" w:color="auto"/>
        <w:bottom w:val="none" w:sz="0" w:space="0" w:color="auto"/>
        <w:right w:val="none" w:sz="0" w:space="0" w:color="auto"/>
      </w:divBdr>
    </w:div>
    <w:div w:id="1309483110">
      <w:bodyDiv w:val="1"/>
      <w:marLeft w:val="0"/>
      <w:marRight w:val="0"/>
      <w:marTop w:val="0"/>
      <w:marBottom w:val="0"/>
      <w:divBdr>
        <w:top w:val="none" w:sz="0" w:space="0" w:color="auto"/>
        <w:left w:val="none" w:sz="0" w:space="0" w:color="auto"/>
        <w:bottom w:val="none" w:sz="0" w:space="0" w:color="auto"/>
        <w:right w:val="none" w:sz="0" w:space="0" w:color="auto"/>
      </w:divBdr>
    </w:div>
    <w:div w:id="1424302715">
      <w:bodyDiv w:val="1"/>
      <w:marLeft w:val="0"/>
      <w:marRight w:val="0"/>
      <w:marTop w:val="0"/>
      <w:marBottom w:val="0"/>
      <w:divBdr>
        <w:top w:val="none" w:sz="0" w:space="0" w:color="auto"/>
        <w:left w:val="none" w:sz="0" w:space="0" w:color="auto"/>
        <w:bottom w:val="none" w:sz="0" w:space="0" w:color="auto"/>
        <w:right w:val="none" w:sz="0" w:space="0" w:color="auto"/>
      </w:divBdr>
    </w:div>
    <w:div w:id="1624340507">
      <w:bodyDiv w:val="1"/>
      <w:marLeft w:val="0"/>
      <w:marRight w:val="0"/>
      <w:marTop w:val="0"/>
      <w:marBottom w:val="0"/>
      <w:divBdr>
        <w:top w:val="none" w:sz="0" w:space="0" w:color="auto"/>
        <w:left w:val="none" w:sz="0" w:space="0" w:color="auto"/>
        <w:bottom w:val="none" w:sz="0" w:space="0" w:color="auto"/>
        <w:right w:val="none" w:sz="0" w:space="0" w:color="auto"/>
      </w:divBdr>
    </w:div>
    <w:div w:id="1730302395">
      <w:bodyDiv w:val="1"/>
      <w:marLeft w:val="0"/>
      <w:marRight w:val="0"/>
      <w:marTop w:val="0"/>
      <w:marBottom w:val="0"/>
      <w:divBdr>
        <w:top w:val="none" w:sz="0" w:space="0" w:color="auto"/>
        <w:left w:val="none" w:sz="0" w:space="0" w:color="auto"/>
        <w:bottom w:val="none" w:sz="0" w:space="0" w:color="auto"/>
        <w:right w:val="none" w:sz="0" w:space="0" w:color="auto"/>
      </w:divBdr>
    </w:div>
    <w:div w:id="18167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indra</dc:creator>
  <cp:keywords/>
  <cp:lastModifiedBy>msalorio</cp:lastModifiedBy>
  <cp:revision>2</cp:revision>
  <cp:lastPrinted>2011-12-07T15:04:00Z</cp:lastPrinted>
  <dcterms:created xsi:type="dcterms:W3CDTF">2012-10-09T11:55:00Z</dcterms:created>
  <dcterms:modified xsi:type="dcterms:W3CDTF">2012-10-09T11:55:00Z</dcterms:modified>
</cp:coreProperties>
</file>