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31DF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3.5pt;margin-top:99.4pt;width:464pt;height:55.75pt;z-index:251657728;mso-wrap-distance-left:0;mso-wrap-distance-right:7.05pt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039"/>
                    <w:gridCol w:w="5245"/>
                  </w:tblGrid>
                  <w:tr w:rsidR="00000000">
                    <w:trPr>
                      <w:trHeight w:val="844"/>
                    </w:trPr>
                    <w:tc>
                      <w:tcPr>
                        <w:tcW w:w="4039" w:type="dxa"/>
                        <w:shd w:val="clear" w:color="auto" w:fill="auto"/>
                      </w:tcPr>
                      <w:p w:rsidR="00000000" w:rsidRDefault="00E2584C">
                        <w:pPr>
                          <w:snapToGrid w:val="0"/>
                          <w:rPr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1470660" cy="708660"/>
                              <wp:effectExtent l="19050" t="0" r="0" b="0"/>
                              <wp:docPr id="2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 l="22917" t="31058" r="21587" b="3030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0660" cy="708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5" w:type="dxa"/>
                        <w:shd w:val="clear" w:color="auto" w:fill="auto"/>
                        <w:vAlign w:val="center"/>
                      </w:tcPr>
                      <w:p w:rsidR="00000000" w:rsidRDefault="00031DFC">
                        <w:pPr>
                          <w:snapToGrid w:val="0"/>
                          <w:jc w:val="center"/>
                          <w:rPr>
                            <w:sz w:val="32"/>
                          </w:rPr>
                        </w:pPr>
                      </w:p>
                    </w:tc>
                  </w:tr>
                </w:tbl>
                <w:p w:rsidR="00000000" w:rsidRDefault="00031DFC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</w:p>
    <w:p w:rsidR="00000000" w:rsidRDefault="00031DFC">
      <w:pPr>
        <w:ind w:left="720"/>
        <w:rPr>
          <w:rFonts w:ascii="Arial" w:hAnsi="Arial" w:cs="Arial"/>
          <w:sz w:val="22"/>
          <w:szCs w:val="22"/>
          <w:lang w:val="es-ES"/>
        </w:rPr>
      </w:pPr>
    </w:p>
    <w:p w:rsidR="00000000" w:rsidRDefault="00031DFC">
      <w:pPr>
        <w:ind w:left="720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INDRA DE</w:t>
      </w:r>
      <w:r>
        <w:rPr>
          <w:rFonts w:ascii="Arial" w:hAnsi="Arial" w:cs="Arial"/>
          <w:b/>
          <w:sz w:val="28"/>
          <w:szCs w:val="28"/>
          <w:lang w:val="es-ES"/>
        </w:rPr>
        <w:t>SARROLLA UN INNOVADOR SEGUIDOR SOLAR</w:t>
      </w:r>
    </w:p>
    <w:p w:rsidR="00000000" w:rsidRDefault="00031DFC">
      <w:pPr>
        <w:ind w:left="720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  <w:r>
        <w:rPr>
          <w:rFonts w:ascii="Arial" w:hAnsi="Arial" w:cs="Arial"/>
          <w:b/>
          <w:sz w:val="28"/>
          <w:szCs w:val="28"/>
          <w:lang w:val="es-ES"/>
        </w:rPr>
        <w:t>DE ALTA PRECISIÓN PARA MEJORAR EL RENDIMIENTO</w:t>
      </w:r>
    </w:p>
    <w:p w:rsidR="00000000" w:rsidRDefault="00031DFC">
      <w:pPr>
        <w:ind w:left="720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  <w:r>
        <w:rPr>
          <w:rFonts w:ascii="Arial" w:hAnsi="Arial" w:cs="Arial"/>
          <w:b/>
          <w:sz w:val="28"/>
          <w:szCs w:val="28"/>
          <w:lang w:val="es-ES"/>
        </w:rPr>
        <w:t xml:space="preserve">DE LOS PANELES FOTOVOLTAICOS </w:t>
      </w:r>
    </w:p>
    <w:p w:rsidR="00000000" w:rsidRDefault="00031DFC">
      <w:pPr>
        <w:ind w:left="720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000000" w:rsidRDefault="00031DFC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El sis</w:t>
      </w:r>
      <w:r>
        <w:rPr>
          <w:rFonts w:ascii="Arial" w:hAnsi="Arial" w:cs="Arial"/>
          <w:b/>
          <w:sz w:val="22"/>
          <w:szCs w:val="22"/>
          <w:lang w:val="es-ES"/>
        </w:rPr>
        <w:t>tema es fruto de un proyecto de I+D cofinanciado con fondos regionales y ha sido desarrollado en el Centro de Soporte Logís</w:t>
      </w:r>
      <w:r>
        <w:rPr>
          <w:rFonts w:ascii="Arial" w:hAnsi="Arial" w:cs="Arial"/>
          <w:b/>
          <w:sz w:val="22"/>
          <w:szCs w:val="22"/>
          <w:lang w:val="es-ES"/>
        </w:rPr>
        <w:t xml:space="preserve">tico a Renovables (CENSOLOR) de Indra en </w:t>
      </w:r>
      <w:proofErr w:type="spellStart"/>
      <w:r>
        <w:rPr>
          <w:rFonts w:ascii="Arial" w:hAnsi="Arial" w:cs="Arial"/>
          <w:b/>
          <w:sz w:val="22"/>
          <w:szCs w:val="22"/>
          <w:lang w:val="es-ES"/>
        </w:rPr>
        <w:t>Bembibre</w:t>
      </w:r>
      <w:proofErr w:type="spellEnd"/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:rsidR="00000000" w:rsidRDefault="00031DFC">
      <w:pPr>
        <w:ind w:left="1440"/>
        <w:jc w:val="both"/>
        <w:rPr>
          <w:rFonts w:ascii="Arial" w:hAnsi="Arial" w:cs="Arial"/>
          <w:sz w:val="22"/>
          <w:szCs w:val="22"/>
          <w:lang w:val="es-ES"/>
        </w:rPr>
      </w:pPr>
    </w:p>
    <w:p w:rsidR="00000000" w:rsidRDefault="00031DFC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El ahorro en costes de mantenimiento, </w:t>
      </w:r>
      <w:r>
        <w:rPr>
          <w:rFonts w:ascii="Arial" w:hAnsi="Arial" w:cs="Arial"/>
          <w:b/>
          <w:sz w:val="22"/>
          <w:szCs w:val="22"/>
          <w:lang w:val="es-ES"/>
        </w:rPr>
        <w:t xml:space="preserve">la alta y constante precisión de apuntamiento y la sencillez de diseño son algunas de sus principales aportaciones </w:t>
      </w:r>
    </w:p>
    <w:p w:rsidR="00000000" w:rsidRDefault="00031DFC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:rsidR="00000000" w:rsidRDefault="00031DFC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000000" w:rsidRDefault="00031DFC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Indra</w:t>
      </w:r>
      <w:r>
        <w:rPr>
          <w:rFonts w:ascii="Arial" w:hAnsi="Arial" w:cs="Arial"/>
          <w:sz w:val="22"/>
          <w:szCs w:val="22"/>
          <w:lang w:val="es-ES"/>
        </w:rPr>
        <w:t>,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la multinacional de consultoría y tecnolo</w:t>
      </w:r>
      <w:r>
        <w:rPr>
          <w:rFonts w:ascii="Arial" w:hAnsi="Arial" w:cs="Arial"/>
          <w:bCs/>
          <w:sz w:val="22"/>
          <w:szCs w:val="22"/>
          <w:lang w:val="es-ES"/>
        </w:rPr>
        <w:t xml:space="preserve">gía nº1 en España y una de las principales de Europa y Latinoamérica, </w:t>
      </w:r>
      <w:r>
        <w:rPr>
          <w:rFonts w:ascii="Arial" w:hAnsi="Arial" w:cs="Arial"/>
          <w:sz w:val="22"/>
          <w:szCs w:val="22"/>
          <w:lang w:val="es-ES"/>
        </w:rPr>
        <w:t>acaba de finalizar el desarrollo de un avanzado seguidor solar (ICST-70) para paneles fotovoltaicos de alta concentración (HPCV) en su Centro de Soporte Logístico a Renovables (CENSOLOR)</w:t>
      </w:r>
      <w:r>
        <w:rPr>
          <w:rFonts w:ascii="Arial" w:hAnsi="Arial" w:cs="Arial"/>
          <w:sz w:val="22"/>
          <w:szCs w:val="22"/>
          <w:lang w:val="es-ES"/>
        </w:rPr>
        <w:t xml:space="preserve">, ubicado en el polígono industrial de San Román de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Bembibre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(León). El proyecto, que se inició en 2010,  ha sido cofinanciado con el Fondo Europeo de Desarrollo Regional (FEDER) y la Junta de Castilla y León. En la actualidad, los nuevos seguidores ya est</w:t>
      </w:r>
      <w:r>
        <w:rPr>
          <w:rFonts w:ascii="Arial" w:hAnsi="Arial" w:cs="Arial"/>
          <w:sz w:val="22"/>
          <w:szCs w:val="22"/>
          <w:lang w:val="es-ES"/>
        </w:rPr>
        <w:t xml:space="preserve">án listos para su comercialización y varios de ellos ya han sido instalados en algunos países europeos y de Oriente Medio. </w:t>
      </w:r>
    </w:p>
    <w:p w:rsidR="00000000" w:rsidRDefault="00031DFC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000000" w:rsidRDefault="00031DFC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Los seguidores solares </w:t>
      </w:r>
      <w:r>
        <w:rPr>
          <w:rFonts w:ascii="Arial" w:hAnsi="Arial" w:cs="Arial"/>
          <w:sz w:val="22"/>
          <w:szCs w:val="22"/>
          <w:lang w:val="es-ES"/>
        </w:rPr>
        <w:t>son sistemas capaces de enfrentar una superficie al sol,  generalmente formada de paneles solares fotovoltai</w:t>
      </w:r>
      <w:r>
        <w:rPr>
          <w:rFonts w:ascii="Arial" w:hAnsi="Arial" w:cs="Arial"/>
          <w:sz w:val="22"/>
          <w:szCs w:val="22"/>
          <w:lang w:val="es-ES"/>
        </w:rPr>
        <w:t xml:space="preserve">cos o espejos, con la finalidad de captar el máximo de energía. Estos sistemas para el seguimiento solar necesitan conocer la fecha, hora y coordenadas del lugar donde está instalado y así calcular la trayectoria del sol que corresponde a cada día del año </w:t>
      </w:r>
      <w:r>
        <w:rPr>
          <w:rFonts w:ascii="Arial" w:hAnsi="Arial" w:cs="Arial"/>
          <w:sz w:val="22"/>
          <w:szCs w:val="22"/>
          <w:lang w:val="es-ES"/>
        </w:rPr>
        <w:t>para esa zona concreta. Los seguidores solares aumentan un 30% la producción de energía eléctrica de origen fotovoltaico con respecto a instalaciones fijas y son imprescindibles cuando los paneles solares están formados por células fotovoltaicas de alta co</w:t>
      </w:r>
      <w:r>
        <w:rPr>
          <w:rFonts w:ascii="Arial" w:hAnsi="Arial" w:cs="Arial"/>
          <w:sz w:val="22"/>
          <w:szCs w:val="22"/>
          <w:lang w:val="es-ES"/>
        </w:rPr>
        <w:t>ncentración (HCPV), que requieren una alta precisión en el apuntamiento al sol así como estabilidad frente a agentes atmosféricos.</w:t>
      </w:r>
    </w:p>
    <w:p w:rsidR="00000000" w:rsidRDefault="00031DFC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000000" w:rsidRDefault="00031DFC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Menos </w:t>
      </w:r>
      <w:r>
        <w:rPr>
          <w:rFonts w:ascii="Arial" w:hAnsi="Arial" w:cs="Arial"/>
          <w:b/>
          <w:sz w:val="22"/>
          <w:szCs w:val="22"/>
          <w:lang w:val="es-ES"/>
        </w:rPr>
        <w:t>costes de mantenimiento y mayor precisión de apuntamiento</w:t>
      </w:r>
    </w:p>
    <w:p w:rsidR="00000000" w:rsidRDefault="00031DFC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000000" w:rsidRDefault="00031DFC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El sistema desarrollado por Indra aporta importantes ventaj</w:t>
      </w:r>
      <w:r>
        <w:rPr>
          <w:rFonts w:ascii="Arial" w:hAnsi="Arial" w:cs="Arial"/>
          <w:sz w:val="22"/>
          <w:szCs w:val="22"/>
          <w:lang w:val="es-ES"/>
        </w:rPr>
        <w:t>as frente a otros existentes en el mercado. Se trata de un sistema competitivo, basado en la sencillez de diseño, alta fiabilidad así como facilidad de montaje y mantenimiento, que incorpora la capacidad de soportar condiciones medioambientales adversas (v</w:t>
      </w:r>
      <w:r>
        <w:rPr>
          <w:rFonts w:ascii="Arial" w:hAnsi="Arial" w:cs="Arial"/>
          <w:sz w:val="22"/>
          <w:szCs w:val="22"/>
          <w:lang w:val="es-ES"/>
        </w:rPr>
        <w:t>iento, desierto, nieve, etc.). El sistema de movimiento utilizado, a diferencia de otros sistemas en el mercado fotovoltaico, no se basa en coronas y engranajes mecánicos, caros y difíciles de mantener, sino que se realiza con dos actuadores hidráulicos. A</w:t>
      </w:r>
      <w:r>
        <w:rPr>
          <w:rFonts w:ascii="Arial" w:hAnsi="Arial" w:cs="Arial"/>
          <w:sz w:val="22"/>
          <w:szCs w:val="22"/>
          <w:lang w:val="es-ES"/>
        </w:rPr>
        <w:t xml:space="preserve">simismo dispone de un sistema de control que le permite orientarse en posiciones extremas, aprovechando al máximo la energía solar y teniendo una </w:t>
      </w:r>
      <w:r>
        <w:rPr>
          <w:rFonts w:ascii="Arial" w:hAnsi="Arial" w:cs="Arial"/>
          <w:sz w:val="22"/>
          <w:szCs w:val="22"/>
          <w:lang w:val="es-ES"/>
        </w:rPr>
        <w:lastRenderedPageBreak/>
        <w:t xml:space="preserve">precisión de apuntamiento (desviación de la perpendicular al Sol) </w:t>
      </w:r>
      <w:r w:rsidRPr="00E2584C">
        <w:rPr>
          <w:rFonts w:ascii="Arial" w:hAnsi="Arial" w:cs="Arial"/>
          <w:sz w:val="22"/>
          <w:szCs w:val="22"/>
          <w:lang w:val="es-ES"/>
        </w:rPr>
        <w:t>mayor</w:t>
      </w:r>
      <w:r>
        <w:rPr>
          <w:rFonts w:ascii="Arial" w:hAnsi="Arial" w:cs="Arial"/>
          <w:color w:val="C5000B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de 0,3 grados en todo momento.</w:t>
      </w:r>
    </w:p>
    <w:p w:rsidR="00000000" w:rsidRDefault="00031DFC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000000" w:rsidRDefault="00031DFC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Indra </w:t>
      </w:r>
      <w:r>
        <w:rPr>
          <w:rFonts w:ascii="Arial" w:hAnsi="Arial" w:cs="Arial"/>
          <w:sz w:val="22"/>
          <w:szCs w:val="22"/>
          <w:lang w:val="es-ES"/>
        </w:rPr>
        <w:t>traslada así su experiencia y capacidad en innovación  a una tecnología en desarrollo como es la solar de alta concentración. Esta tecnología utiliza muy pequeñas cantidades de material semiconductor en sus células y convierte la luz solar en energía eléct</w:t>
      </w:r>
      <w:r>
        <w:rPr>
          <w:rFonts w:ascii="Arial" w:hAnsi="Arial" w:cs="Arial"/>
          <w:sz w:val="22"/>
          <w:szCs w:val="22"/>
          <w:lang w:val="es-ES"/>
        </w:rPr>
        <w:t>rica con una alta eficiencia (superior al 40% frente al 20% de los sistemas fotovoltaicos convencionales), utilizando sistemas de lentes que pueden aumentar hasta 1000 veces la potencia del sol que llega a las células. Por todo ello requiere de unos sistem</w:t>
      </w:r>
      <w:r>
        <w:rPr>
          <w:rFonts w:ascii="Arial" w:hAnsi="Arial" w:cs="Arial"/>
          <w:sz w:val="22"/>
          <w:szCs w:val="22"/>
          <w:lang w:val="es-ES"/>
        </w:rPr>
        <w:t>as de apuntamiento muy precisos.</w:t>
      </w:r>
    </w:p>
    <w:p w:rsidR="00000000" w:rsidRDefault="00031DFC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  </w:t>
      </w:r>
    </w:p>
    <w:p w:rsidR="00000000" w:rsidRDefault="00031DFC">
      <w:pPr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Tecnología puntera para energía</w:t>
      </w:r>
      <w:r>
        <w:rPr>
          <w:rFonts w:ascii="Arial" w:hAnsi="Arial" w:cs="Arial"/>
          <w:b/>
          <w:sz w:val="22"/>
          <w:szCs w:val="22"/>
          <w:lang w:val="es-ES"/>
        </w:rPr>
        <w:t>s renovables</w:t>
      </w:r>
    </w:p>
    <w:p w:rsidR="00000000" w:rsidRDefault="00031DFC">
      <w:pPr>
        <w:rPr>
          <w:rFonts w:ascii="Arial" w:hAnsi="Arial" w:cs="Arial"/>
          <w:b/>
          <w:sz w:val="22"/>
          <w:szCs w:val="22"/>
          <w:lang w:val="es-ES"/>
        </w:rPr>
      </w:pPr>
    </w:p>
    <w:p w:rsidR="00000000" w:rsidRDefault="00031DFC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Indra puso en marcha en 2011 un Centro de Soporte Logístico a Renovables (CENSOLOR) en el Parque Industrial del Bierzo Alto (</w:t>
      </w:r>
      <w:proofErr w:type="spellStart"/>
      <w:r>
        <w:rPr>
          <w:rFonts w:ascii="Arial" w:hAnsi="Arial" w:cs="Arial"/>
          <w:sz w:val="22"/>
          <w:szCs w:val="22"/>
          <w:lang w:val="es-ES"/>
        </w:rPr>
        <w:t>Bembibre</w:t>
      </w:r>
      <w:proofErr w:type="spellEnd"/>
      <w:r>
        <w:rPr>
          <w:rFonts w:ascii="Arial" w:hAnsi="Arial" w:cs="Arial"/>
          <w:sz w:val="22"/>
          <w:szCs w:val="22"/>
          <w:lang w:val="es-ES"/>
        </w:rPr>
        <w:t>-León). Desde sus instalaciones, la multin</w:t>
      </w:r>
      <w:r>
        <w:rPr>
          <w:rFonts w:ascii="Arial" w:hAnsi="Arial" w:cs="Arial"/>
          <w:sz w:val="22"/>
          <w:szCs w:val="22"/>
          <w:lang w:val="es-ES"/>
        </w:rPr>
        <w:t>acional tecnológica canaliza sus actividades como proveedor de productos y servicios de ingeniería y de soporte al ciclo de vida para el sector eólico, solar fotovoltaico y vehículo eléctrico. Su objetivo es centralizar todas sus actividades de soporte log</w:t>
      </w:r>
      <w:r>
        <w:rPr>
          <w:rFonts w:ascii="Arial" w:hAnsi="Arial" w:cs="Arial"/>
          <w:sz w:val="22"/>
          <w:szCs w:val="22"/>
          <w:lang w:val="es-ES"/>
        </w:rPr>
        <w:t>ístico de renovables con el objetivo de ofrecer al sector productos y servicios de calidad a precios competitivos.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000000" w:rsidRDefault="00031DFC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000000" w:rsidRDefault="00031DFC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Entre su proyectos más relevantes destacan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Aerogidas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, su sistema de mantenimiento predictivo inteligente para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aerogeradores</w:t>
      </w:r>
      <w:proofErr w:type="spellEnd"/>
      <w:r>
        <w:rPr>
          <w:rFonts w:ascii="Arial" w:hAnsi="Arial" w:cs="Arial"/>
          <w:sz w:val="22"/>
          <w:szCs w:val="22"/>
          <w:lang w:val="es-ES"/>
        </w:rPr>
        <w:t>; SIPAM, un sist</w:t>
      </w:r>
      <w:r>
        <w:rPr>
          <w:rFonts w:ascii="Arial" w:hAnsi="Arial" w:cs="Arial"/>
          <w:sz w:val="22"/>
          <w:szCs w:val="22"/>
          <w:lang w:val="es-ES"/>
        </w:rPr>
        <w:t>ema de planificación y gestión de tareas de mantenimiento con soporte documental y tele-asistencia  en dispositivos móviles para plantas solares y eólicas</w:t>
      </w:r>
      <w:r>
        <w:rPr>
          <w:rFonts w:ascii="Arial" w:hAnsi="Arial" w:cs="Arial"/>
          <w:color w:val="548DD4"/>
          <w:sz w:val="22"/>
          <w:szCs w:val="22"/>
          <w:lang w:val="es-ES"/>
        </w:rPr>
        <w:t xml:space="preserve">; </w:t>
      </w:r>
      <w:r>
        <w:rPr>
          <w:rFonts w:ascii="Arial" w:hAnsi="Arial" w:cs="Arial"/>
          <w:sz w:val="22"/>
          <w:szCs w:val="22"/>
          <w:lang w:val="es-ES"/>
        </w:rPr>
        <w:t xml:space="preserve">o su sistema de control de pitch para aerogeneradores basado en la medición de las cargas a las que </w:t>
      </w:r>
      <w:r>
        <w:rPr>
          <w:rFonts w:ascii="Arial" w:hAnsi="Arial" w:cs="Arial"/>
          <w:sz w:val="22"/>
          <w:szCs w:val="22"/>
          <w:lang w:val="es-ES"/>
        </w:rPr>
        <w:t xml:space="preserve">están sometidas las palas. Asimismo realiza una amplia labor de investigación y desarrollo de productos orientados a la mejora del </w:t>
      </w:r>
      <w:proofErr w:type="gramStart"/>
      <w:r>
        <w:rPr>
          <w:rFonts w:ascii="Arial" w:hAnsi="Arial" w:cs="Arial"/>
          <w:sz w:val="22"/>
          <w:szCs w:val="22"/>
          <w:lang w:val="es-ES"/>
        </w:rPr>
        <w:t>rendimiento</w:t>
      </w:r>
      <w:proofErr w:type="gramEnd"/>
      <w:r>
        <w:rPr>
          <w:rFonts w:ascii="Arial" w:hAnsi="Arial" w:cs="Arial"/>
          <w:sz w:val="22"/>
          <w:szCs w:val="22"/>
          <w:lang w:val="es-ES"/>
        </w:rPr>
        <w:t xml:space="preserve"> de los paneles solares fotovoltaicos y presta soporte  a la fabricación de los nuevos contadores inteligentes des</w:t>
      </w:r>
      <w:r>
        <w:rPr>
          <w:rFonts w:ascii="Arial" w:hAnsi="Arial" w:cs="Arial"/>
          <w:sz w:val="22"/>
          <w:szCs w:val="22"/>
          <w:lang w:val="es-ES"/>
        </w:rPr>
        <w:t>arrollados por Indra y a su solución de recarga “</w:t>
      </w:r>
      <w:proofErr w:type="spellStart"/>
      <w:r>
        <w:rPr>
          <w:rFonts w:ascii="Arial" w:hAnsi="Arial" w:cs="Arial"/>
          <w:sz w:val="22"/>
          <w:szCs w:val="22"/>
          <w:lang w:val="es-ES"/>
        </w:rPr>
        <w:t>end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to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end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” para el vehículo eléctrico. </w:t>
      </w:r>
    </w:p>
    <w:p w:rsidR="00000000" w:rsidRDefault="00031DFC">
      <w:pPr>
        <w:rPr>
          <w:rFonts w:ascii="Arial" w:hAnsi="Arial" w:cs="Arial"/>
          <w:sz w:val="22"/>
          <w:szCs w:val="22"/>
          <w:lang w:val="es-ES"/>
        </w:rPr>
      </w:pPr>
    </w:p>
    <w:p w:rsidR="00000000" w:rsidRDefault="00031DFC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Indra</w:t>
      </w:r>
    </w:p>
    <w:p w:rsidR="00000000" w:rsidRDefault="00031DFC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000000" w:rsidRDefault="00031DFC">
      <w:pPr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Indra es la multinacional de consultoría y tecnología nº1 en España y una de las principales de Europa y Latinoamérica. La innovación es la base de su negoc</w:t>
      </w:r>
      <w:r>
        <w:rPr>
          <w:rFonts w:ascii="Arial" w:hAnsi="Arial" w:cs="Arial"/>
          <w:bCs/>
          <w:sz w:val="22"/>
          <w:szCs w:val="22"/>
          <w:lang w:val="es-ES"/>
        </w:rPr>
        <w:t>io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y sostenibilidad, habiendo dedicado 550 M€ a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I+D+i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 xml:space="preserve"> en los últimos tres años, cifra que la sitúa entre las primeras compañías europeas de su sector por inversión. Con unas ventas cercanas a 3.000 M€, el 55% de los ingresos proceden del mercado internaciona</w:t>
      </w:r>
      <w:r>
        <w:rPr>
          <w:rFonts w:ascii="Arial" w:hAnsi="Arial" w:cs="Arial"/>
          <w:bCs/>
          <w:sz w:val="22"/>
          <w:szCs w:val="22"/>
          <w:lang w:val="es-ES"/>
        </w:rPr>
        <w:t>l. Cuenta con 42.000 profesionales y con clientes en 118 países.</w:t>
      </w:r>
    </w:p>
    <w:p w:rsidR="00000000" w:rsidRDefault="00031DFC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031DFC" w:rsidRDefault="00031DFC">
      <w:pPr>
        <w:jc w:val="both"/>
      </w:pPr>
    </w:p>
    <w:sectPr w:rsidR="00031DFC">
      <w:headerReference w:type="default" r:id="rId9"/>
      <w:footerReference w:type="default" r:id="rId10"/>
      <w:pgSz w:w="11906" w:h="16838"/>
      <w:pgMar w:top="2239" w:right="1418" w:bottom="212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DFC" w:rsidRDefault="00031DFC">
      <w:r>
        <w:separator/>
      </w:r>
    </w:p>
  </w:endnote>
  <w:endnote w:type="continuationSeparator" w:id="0">
    <w:p w:rsidR="00031DFC" w:rsidRDefault="00031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465"/>
      <w:gridCol w:w="1134"/>
      <w:gridCol w:w="3827"/>
    </w:tblGrid>
    <w:tr w:rsidR="00000000">
      <w:trPr>
        <w:trHeight w:val="857"/>
      </w:trPr>
      <w:tc>
        <w:tcPr>
          <w:tcW w:w="4465" w:type="dxa"/>
          <w:shd w:val="clear" w:color="auto" w:fill="auto"/>
        </w:tcPr>
        <w:p w:rsidR="00000000" w:rsidRDefault="00031DFC">
          <w:pPr>
            <w:pStyle w:val="Piedepgina"/>
            <w:tabs>
              <w:tab w:val="left" w:pos="993"/>
            </w:tabs>
            <w:snapToGrid w:val="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Comunicación y Relaciones con los Medios</w:t>
          </w:r>
        </w:p>
        <w:p w:rsidR="00000000" w:rsidRDefault="00031DFC">
          <w:pPr>
            <w:pStyle w:val="Piedepgina"/>
            <w:tabs>
              <w:tab w:val="left" w:pos="993"/>
            </w:tabs>
            <w:rPr>
              <w:rFonts w:ascii="Arial" w:hAnsi="Arial"/>
              <w:sz w:val="20"/>
              <w:lang w:val="es-ES"/>
            </w:rPr>
          </w:pPr>
          <w:proofErr w:type="spellStart"/>
          <w:r>
            <w:rPr>
              <w:rFonts w:ascii="Arial" w:hAnsi="Arial"/>
              <w:sz w:val="20"/>
              <w:lang w:val="es-ES"/>
            </w:rPr>
            <w:t>Tlf.</w:t>
          </w:r>
          <w:proofErr w:type="spellEnd"/>
          <w:r>
            <w:rPr>
              <w:rFonts w:ascii="Arial" w:hAnsi="Arial"/>
              <w:sz w:val="20"/>
              <w:lang w:val="es-ES"/>
            </w:rPr>
            <w:t xml:space="preserve">: + (34) 91 480 97 01   </w:t>
          </w:r>
        </w:p>
        <w:p w:rsidR="00000000" w:rsidRDefault="00031DFC">
          <w:pPr>
            <w:pStyle w:val="Piedepgina"/>
            <w:tabs>
              <w:tab w:val="left" w:pos="993"/>
            </w:tabs>
            <w:ind w:right="-70"/>
            <w:rPr>
              <w:rFonts w:ascii="Arial" w:hAnsi="Arial"/>
              <w:sz w:val="20"/>
              <w:lang w:val="es-ES"/>
            </w:rPr>
          </w:pPr>
          <w:r>
            <w:rPr>
              <w:rFonts w:ascii="Arial" w:hAnsi="Arial"/>
              <w:sz w:val="20"/>
              <w:lang w:val="es-ES"/>
            </w:rPr>
            <w:t>indraprensa@indracompany.com</w:t>
          </w:r>
        </w:p>
      </w:tc>
      <w:tc>
        <w:tcPr>
          <w:tcW w:w="1134" w:type="dxa"/>
          <w:shd w:val="clear" w:color="auto" w:fill="auto"/>
        </w:tcPr>
        <w:p w:rsidR="00000000" w:rsidRDefault="00031DFC">
          <w:pPr>
            <w:pStyle w:val="Piedepgina"/>
            <w:snapToGrid w:val="0"/>
            <w:jc w:val="right"/>
            <w:rPr>
              <w:rFonts w:ascii="Arial" w:hAnsi="Arial"/>
              <w:sz w:val="20"/>
              <w:lang w:val="es-ES"/>
            </w:rPr>
          </w:pPr>
        </w:p>
        <w:p w:rsidR="00000000" w:rsidRDefault="00031DFC">
          <w:pPr>
            <w:pStyle w:val="Piedepgina"/>
            <w:jc w:val="right"/>
            <w:rPr>
              <w:rFonts w:ascii="Arial" w:hAnsi="Arial"/>
              <w:sz w:val="20"/>
              <w:lang w:val="es-ES"/>
            </w:rPr>
          </w:pPr>
        </w:p>
      </w:tc>
      <w:tc>
        <w:tcPr>
          <w:tcW w:w="3827" w:type="dxa"/>
          <w:shd w:val="clear" w:color="auto" w:fill="auto"/>
        </w:tcPr>
        <w:p w:rsidR="00000000" w:rsidRDefault="00031DFC">
          <w:pPr>
            <w:pStyle w:val="Piedepgina"/>
            <w:snapToGrid w:val="0"/>
            <w:jc w:val="right"/>
            <w:rPr>
              <w:rFonts w:ascii="Arial" w:hAnsi="Arial"/>
              <w:sz w:val="20"/>
              <w:shd w:val="clear" w:color="auto" w:fill="FFFF00"/>
              <w:lang w:val="es-ES"/>
            </w:rPr>
          </w:pPr>
        </w:p>
        <w:p w:rsidR="00000000" w:rsidRDefault="00031DFC">
          <w:pPr>
            <w:pStyle w:val="Piedepgina"/>
            <w:jc w:val="right"/>
            <w:rPr>
              <w:rFonts w:ascii="Arial" w:hAnsi="Arial"/>
              <w:sz w:val="20"/>
              <w:shd w:val="clear" w:color="auto" w:fill="FFFF00"/>
              <w:lang w:val="es-ES"/>
            </w:rPr>
          </w:pPr>
        </w:p>
        <w:p w:rsidR="00000000" w:rsidRDefault="00031DFC">
          <w:pPr>
            <w:pStyle w:val="Piedepgina"/>
            <w:jc w:val="righ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Madrid, 21 de enero  2012</w:t>
          </w:r>
        </w:p>
      </w:tc>
    </w:tr>
  </w:tbl>
  <w:p w:rsidR="00000000" w:rsidRDefault="00031DFC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DFC" w:rsidRDefault="00031DFC">
      <w:r>
        <w:separator/>
      </w:r>
    </w:p>
  </w:footnote>
  <w:footnote w:type="continuationSeparator" w:id="0">
    <w:p w:rsidR="00031DFC" w:rsidRDefault="00031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2584C">
    <w:pPr>
      <w:pStyle w:val="Encabezado"/>
      <w:rPr>
        <w:lang w:val="en-US"/>
      </w:rPr>
    </w:pPr>
    <w:r>
      <w:rPr>
        <w:noProof/>
        <w:lang w:val="es-ES" w:eastAsia="es-ES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2351405</wp:posOffset>
          </wp:positionH>
          <wp:positionV relativeFrom="paragraph">
            <wp:posOffset>-454660</wp:posOffset>
          </wp:positionV>
          <wp:extent cx="4366895" cy="138430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151" b="19525"/>
                  <a:stretch>
                    <a:fillRect/>
                  </a:stretch>
                </pic:blipFill>
                <pic:spPr bwMode="auto">
                  <a:xfrm>
                    <a:off x="0" y="0"/>
                    <a:ext cx="4366895" cy="1384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2584C"/>
    <w:rsid w:val="00031DFC"/>
    <w:rsid w:val="00455323"/>
    <w:rsid w:val="00E2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Aria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Symbol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Symbol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Symbol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Symbol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Symbol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strike w:val="0"/>
      <w:dstrike w:val="0"/>
      <w:color w:val="0000FF"/>
      <w:u w:val="none"/>
    </w:rPr>
  </w:style>
  <w:style w:type="character" w:styleId="Textoennegrita">
    <w:name w:val="Strong"/>
    <w:qFormat/>
    <w:rPr>
      <w:b/>
      <w:b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 w:cs="Arial"/>
      <w:szCs w:val="24"/>
      <w:lang w:val="es-ES"/>
    </w:rPr>
  </w:style>
  <w:style w:type="paragraph" w:customStyle="1" w:styleId="Sangra3detindependiente1">
    <w:name w:val="Sangría 3 de t. independiente1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Pr>
      <w:szCs w:val="24"/>
      <w:lang w:val="es-E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5B1E7-0C82-47EA-A6BD-F8C2CC29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</dc:creator>
  <cp:lastModifiedBy>INDRA</cp:lastModifiedBy>
  <cp:revision>2</cp:revision>
  <cp:lastPrinted>2011-12-07T16:04:00Z</cp:lastPrinted>
  <dcterms:created xsi:type="dcterms:W3CDTF">2013-01-23T08:23:00Z</dcterms:created>
  <dcterms:modified xsi:type="dcterms:W3CDTF">2013-01-23T08:23:00Z</dcterms:modified>
</cp:coreProperties>
</file>